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方正小标宋简体" w:hAnsi="方正小标宋简体" w:eastAsia="方正小标宋简体" w:cs="方正小标宋简体"/>
          <w:b w:val="0"/>
          <w:bCs/>
          <w:color w:val="333333"/>
          <w:spacing w:val="-8"/>
          <w:kern w:val="0"/>
          <w:sz w:val="44"/>
          <w:szCs w:val="44"/>
        </w:rPr>
      </w:pPr>
    </w:p>
    <w:p>
      <w:pPr>
        <w:pStyle w:val="2"/>
        <w:ind w:left="0" w:leftChars="0" w:firstLine="0" w:firstLineChars="0"/>
        <w:jc w:val="center"/>
        <w:rPr>
          <w:rFonts w:hint="eastAsia" w:ascii="方正小标宋简体" w:hAnsi="方正小标宋简体" w:eastAsia="方正小标宋简体" w:cs="方正小标宋简体"/>
          <w:b w:val="0"/>
          <w:bCs/>
          <w:color w:val="333333"/>
          <w:spacing w:val="-8"/>
          <w:kern w:val="0"/>
          <w:sz w:val="44"/>
          <w:szCs w:val="44"/>
          <w:lang w:eastAsia="zh-CN"/>
        </w:rPr>
      </w:pPr>
      <w:bookmarkStart w:id="0" w:name="_GoBack"/>
      <w:r>
        <w:rPr>
          <w:rFonts w:hint="eastAsia" w:ascii="方正小标宋简体" w:hAnsi="方正小标宋简体" w:eastAsia="方正小标宋简体" w:cs="方正小标宋简体"/>
          <w:b w:val="0"/>
          <w:bCs/>
          <w:color w:val="333333"/>
          <w:spacing w:val="-8"/>
          <w:kern w:val="0"/>
          <w:sz w:val="44"/>
          <w:szCs w:val="44"/>
        </w:rPr>
        <w:t>关于深</w:t>
      </w:r>
      <w:r>
        <w:rPr>
          <w:rFonts w:hint="eastAsia" w:ascii="方正小标宋简体" w:hAnsi="方正小标宋简体" w:eastAsia="方正小标宋简体" w:cs="方正小标宋简体"/>
          <w:b w:val="0"/>
          <w:bCs/>
          <w:color w:val="333333"/>
          <w:spacing w:val="-8"/>
          <w:kern w:val="0"/>
          <w:sz w:val="44"/>
          <w:szCs w:val="44"/>
          <w:lang w:val="en-US" w:eastAsia="zh-CN"/>
        </w:rPr>
        <w:t>入推进</w:t>
      </w:r>
      <w:r>
        <w:rPr>
          <w:rFonts w:hint="eastAsia" w:ascii="方正小标宋简体" w:hAnsi="方正小标宋简体" w:eastAsia="方正小标宋简体" w:cs="方正小标宋简体"/>
          <w:b w:val="0"/>
          <w:bCs/>
          <w:color w:val="333333"/>
          <w:spacing w:val="-8"/>
          <w:kern w:val="0"/>
          <w:sz w:val="44"/>
          <w:szCs w:val="44"/>
          <w:lang w:eastAsia="zh-CN"/>
        </w:rPr>
        <w:t>医疗健康与养老服务相结合</w:t>
      </w:r>
    </w:p>
    <w:p>
      <w:pPr>
        <w:pStyle w:val="2"/>
        <w:ind w:left="0" w:leftChars="0" w:firstLine="0" w:firstLineChars="0"/>
        <w:jc w:val="center"/>
        <w:rPr>
          <w:rFonts w:hint="eastAsia" w:ascii="方正小标宋简体" w:hAnsi="方正小标宋简体" w:eastAsia="方正小标宋简体" w:cs="方正小标宋简体"/>
          <w:b w:val="0"/>
          <w:bCs/>
          <w:color w:val="333333"/>
          <w:spacing w:val="-8"/>
          <w:kern w:val="0"/>
          <w:sz w:val="44"/>
          <w:szCs w:val="44"/>
          <w:lang w:val="en-US" w:eastAsia="zh-CN"/>
        </w:rPr>
      </w:pPr>
      <w:r>
        <w:rPr>
          <w:rFonts w:hint="eastAsia" w:ascii="方正小标宋简体" w:hAnsi="方正小标宋简体" w:eastAsia="方正小标宋简体" w:cs="方正小标宋简体"/>
          <w:b w:val="0"/>
          <w:bCs/>
          <w:color w:val="333333"/>
          <w:spacing w:val="-8"/>
          <w:kern w:val="0"/>
          <w:sz w:val="44"/>
          <w:szCs w:val="44"/>
          <w:lang w:eastAsia="zh-CN"/>
        </w:rPr>
        <w:t>的</w:t>
      </w:r>
      <w:r>
        <w:rPr>
          <w:rFonts w:hint="eastAsia" w:ascii="方正小标宋简体" w:hAnsi="方正小标宋简体" w:eastAsia="方正小标宋简体" w:cs="方正小标宋简体"/>
          <w:b w:val="0"/>
          <w:bCs/>
          <w:color w:val="333333"/>
          <w:spacing w:val="-8"/>
          <w:kern w:val="0"/>
          <w:sz w:val="44"/>
          <w:szCs w:val="44"/>
        </w:rPr>
        <w:t>实施</w:t>
      </w:r>
      <w:r>
        <w:rPr>
          <w:rFonts w:hint="eastAsia" w:ascii="方正小标宋简体" w:hAnsi="方正小标宋简体" w:eastAsia="方正小标宋简体" w:cs="方正小标宋简体"/>
          <w:b w:val="0"/>
          <w:bCs/>
          <w:color w:val="333333"/>
          <w:spacing w:val="-8"/>
          <w:kern w:val="0"/>
          <w:sz w:val="44"/>
          <w:szCs w:val="44"/>
          <w:lang w:val="en-US" w:eastAsia="zh-CN"/>
        </w:rPr>
        <w:t>方案</w:t>
      </w:r>
    </w:p>
    <w:bookmarkEnd w:id="0"/>
    <w:p>
      <w:pPr>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val="0"/>
          <w:bCs/>
          <w:color w:val="333333"/>
          <w:spacing w:val="-8"/>
          <w:kern w:val="0"/>
          <w:sz w:val="32"/>
          <w:szCs w:val="32"/>
          <w:lang w:val="en-US" w:eastAsia="zh-CN"/>
        </w:rPr>
        <w:t>（征求意见稿）</w:t>
      </w:r>
    </w:p>
    <w:p>
      <w:pPr>
        <w:keepNext w:val="0"/>
        <w:keepLines w:val="0"/>
        <w:pageBreakBefore w:val="0"/>
        <w:kinsoku/>
        <w:wordWrap/>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105" w:rightChars="-50" w:firstLine="640" w:firstLineChars="200"/>
        <w:jc w:val="both"/>
        <w:textAlignment w:val="auto"/>
        <w:outlineLvl w:val="9"/>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根据国家、省卫生健康委等部门关于深入推进医养结合发展、建立完善老年健康服务体系、深化医养结合促进健康养老发展和加强老年人居家医疗服务的要求，按照“以医助养、医养结合”的原则，为积极</w:t>
      </w:r>
      <w:r>
        <w:rPr>
          <w:rFonts w:hint="eastAsia" w:ascii="仿宋_GB2312" w:hAnsi="仿宋_GB2312" w:eastAsia="仿宋_GB2312" w:cs="仿宋_GB2312"/>
          <w:b w:val="0"/>
          <w:bCs w:val="0"/>
          <w:color w:val="auto"/>
          <w:sz w:val="32"/>
          <w:szCs w:val="32"/>
          <w:shd w:val="clear" w:color="auto" w:fill="auto"/>
          <w:lang w:val="en-US" w:eastAsia="zh-CN"/>
        </w:rPr>
        <w:t>构建“四级联动、六位一体”的老年健康支撑体系，深入推进医养结合，促进健康养老发展，满足全市老年人健康养老服务</w:t>
      </w:r>
      <w:r>
        <w:rPr>
          <w:rFonts w:hint="eastAsia" w:ascii="仿宋_GB2312" w:hAnsi="仿宋_GB2312" w:eastAsia="仿宋_GB2312" w:cs="仿宋_GB2312"/>
          <w:b w:val="0"/>
          <w:bCs w:val="0"/>
          <w:color w:val="000000"/>
          <w:sz w:val="32"/>
          <w:szCs w:val="32"/>
          <w:shd w:val="clear" w:color="auto" w:fill="auto"/>
          <w:lang w:val="en-US" w:eastAsia="zh-CN"/>
        </w:rPr>
        <w:t>多样化、个性化、体系化</w:t>
      </w:r>
      <w:r>
        <w:rPr>
          <w:rFonts w:hint="eastAsia" w:ascii="仿宋_GB2312" w:hAnsi="仿宋_GB2312" w:eastAsia="仿宋_GB2312" w:cs="仿宋_GB2312"/>
          <w:b w:val="0"/>
          <w:bCs w:val="0"/>
          <w:color w:val="auto"/>
          <w:sz w:val="32"/>
          <w:szCs w:val="32"/>
          <w:shd w:val="clear" w:color="auto" w:fill="auto"/>
          <w:lang w:val="en-US" w:eastAsia="zh-CN"/>
        </w:rPr>
        <w:t>需求，</w:t>
      </w:r>
      <w:r>
        <w:rPr>
          <w:rFonts w:hint="eastAsia" w:ascii="仿宋_GB2312" w:hAnsi="仿宋_GB2312" w:eastAsia="仿宋_GB2312" w:cs="仿宋_GB2312"/>
          <w:b w:val="0"/>
          <w:bCs w:val="0"/>
          <w:color w:val="000000"/>
          <w:sz w:val="32"/>
          <w:szCs w:val="32"/>
          <w:shd w:val="clear" w:color="auto" w:fill="auto"/>
          <w:lang w:val="en-US" w:eastAsia="zh-CN"/>
        </w:rPr>
        <w:t>经市政府同意，现制定如下实施方案：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105" w:rightChars="-50" w:firstLine="640" w:firstLineChars="200"/>
        <w:jc w:val="both"/>
        <w:textAlignment w:val="auto"/>
        <w:outlineLvl w:val="9"/>
        <w:rPr>
          <w:rFonts w:hint="eastAsia" w:ascii="黑体" w:hAnsi="黑体" w:eastAsia="黑体" w:cs="黑体"/>
          <w:b w:val="0"/>
          <w:bCs w:val="0"/>
          <w:color w:val="000000"/>
          <w:sz w:val="32"/>
          <w:szCs w:val="32"/>
          <w:shd w:val="clear" w:color="auto" w:fill="auto"/>
          <w:lang w:val="en-US" w:eastAsia="zh-CN"/>
        </w:rPr>
      </w:pPr>
      <w:r>
        <w:rPr>
          <w:rFonts w:hint="eastAsia" w:ascii="黑体" w:hAnsi="黑体" w:eastAsia="黑体" w:cs="黑体"/>
          <w:b w:val="0"/>
          <w:bCs w:val="0"/>
          <w:color w:val="000000"/>
          <w:sz w:val="32"/>
          <w:szCs w:val="32"/>
          <w:shd w:val="clear" w:color="auto" w:fill="auto"/>
          <w:lang w:val="en-US" w:eastAsia="zh-CN"/>
        </w:rPr>
        <w:t>一、工作目标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105" w:rightChars="-50" w:firstLine="640" w:firstLineChars="200"/>
        <w:jc w:val="both"/>
        <w:textAlignment w:val="auto"/>
        <w:outlineLvl w:val="9"/>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到</w:t>
      </w:r>
      <w:r>
        <w:rPr>
          <w:rFonts w:hint="eastAsia" w:ascii="仿宋_GB2312" w:hAnsi="仿宋_GB2312" w:eastAsia="仿宋_GB2312" w:cs="仿宋_GB2312"/>
          <w:b w:val="0"/>
          <w:bCs w:val="0"/>
          <w:color w:val="auto"/>
          <w:sz w:val="32"/>
          <w:szCs w:val="32"/>
          <w:shd w:val="clear" w:color="auto" w:fill="auto"/>
          <w:lang w:val="en-US" w:eastAsia="zh-CN"/>
        </w:rPr>
        <w:t>2025</w:t>
      </w:r>
      <w:r>
        <w:rPr>
          <w:rFonts w:hint="eastAsia" w:ascii="仿宋_GB2312" w:hAnsi="仿宋_GB2312" w:eastAsia="仿宋_GB2312" w:cs="仿宋_GB2312"/>
          <w:b w:val="0"/>
          <w:bCs w:val="0"/>
          <w:color w:val="000000"/>
          <w:sz w:val="32"/>
          <w:szCs w:val="32"/>
          <w:shd w:val="clear" w:color="auto" w:fill="auto"/>
          <w:lang w:val="en-US" w:eastAsia="zh-CN"/>
        </w:rPr>
        <w:t>年，医养结合服务体系进一步完善，医疗健康服务和养老服务资源有序共享，健康教育、日间照料、康复护理、长期照护、安宁疗护服务有效开展，老年医疗、护理和康复人才队伍得到保障，医养结合服务能力明显提升，覆盖</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城乡</w:t>
      </w:r>
      <w:r>
        <w:rPr>
          <w:rFonts w:hint="eastAsia" w:ascii="仿宋_GB2312" w:hAnsi="仿宋_GB2312" w:eastAsia="仿宋_GB2312" w:cs="仿宋_GB2312"/>
          <w:b w:val="0"/>
          <w:bCs w:val="0"/>
          <w:color w:val="000000"/>
          <w:sz w:val="32"/>
          <w:szCs w:val="32"/>
          <w:shd w:val="clear" w:color="auto" w:fill="auto"/>
          <w:lang w:val="en-US" w:eastAsia="zh-CN"/>
        </w:rPr>
        <w:t>、规模适宜、功能合理、综合连续的医养结合服务网络全面建立。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105" w:rightChars="-50" w:firstLine="640" w:firstLineChars="200"/>
        <w:jc w:val="both"/>
        <w:textAlignment w:val="auto"/>
        <w:outlineLvl w:val="9"/>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全市二级及以上综合医院规范设置老年医学科比例不低于65%、三级中医医院设置康复科比例达到100%；老年友善医疗卫生机构的比例达到80%以上。提高基层康复、护理床位占比，基层医疗卫生机构为老年人提供医疗健康服务的能力明显提升，65岁以上老年人健康管理率达到75%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105" w:rightChars="-50" w:firstLine="640" w:firstLineChars="200"/>
        <w:jc w:val="both"/>
        <w:textAlignment w:val="auto"/>
        <w:outlineLvl w:val="9"/>
        <w:rPr>
          <w:rFonts w:hint="eastAsia" w:ascii="黑体" w:hAnsi="黑体" w:eastAsia="黑体" w:cs="黑体"/>
          <w:b w:val="0"/>
          <w:bCs w:val="0"/>
          <w:color w:val="000000"/>
          <w:sz w:val="32"/>
          <w:szCs w:val="32"/>
          <w:shd w:val="clear" w:color="auto" w:fill="auto"/>
          <w:lang w:val="en-US" w:eastAsia="zh-CN"/>
        </w:rPr>
      </w:pPr>
      <w:r>
        <w:rPr>
          <w:rFonts w:hint="eastAsia" w:ascii="黑体" w:hAnsi="黑体" w:eastAsia="黑体" w:cs="黑体"/>
          <w:b w:val="0"/>
          <w:bCs w:val="0"/>
          <w:color w:val="000000"/>
          <w:sz w:val="32"/>
          <w:szCs w:val="32"/>
          <w:shd w:val="clear" w:color="auto" w:fill="auto"/>
          <w:lang w:val="en-US" w:eastAsia="zh-CN"/>
        </w:rPr>
        <w:t>二、主要任务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楷体_GB2312" w:hAnsi="楷体_GB2312" w:eastAsia="楷体_GB2312" w:cs="楷体_GB2312"/>
          <w:b w:val="0"/>
          <w:bCs w:val="0"/>
          <w:color w:val="000000"/>
          <w:sz w:val="32"/>
          <w:szCs w:val="32"/>
          <w:shd w:val="clear" w:color="auto" w:fill="auto"/>
          <w:lang w:val="en-US" w:eastAsia="zh-CN"/>
        </w:rPr>
        <w:t>（一）完善老年健康工作推进机制。</w:t>
      </w:r>
      <w:r>
        <w:rPr>
          <w:rFonts w:hint="eastAsia" w:ascii="仿宋_GB2312" w:hAnsi="仿宋_GB2312" w:eastAsia="仿宋_GB2312" w:cs="仿宋_GB2312"/>
          <w:b w:val="0"/>
          <w:bCs w:val="0"/>
          <w:color w:val="auto"/>
          <w:sz w:val="32"/>
          <w:szCs w:val="32"/>
          <w:shd w:val="clear" w:color="auto" w:fill="auto"/>
          <w:lang w:val="en-US" w:eastAsia="zh-CN"/>
        </w:rPr>
        <w:t>建立“市级老年健康指导中心—县级老年健康管理中心—乡级老年健康服务中心—村老年健康服务站点”四级联动，“健康教育、预防保健、疾病诊治、康复护理、长期照护、安宁疗护”六位一体的老年健康管理服务网络。着力构建便捷可及、综合连续、更高品质的老年健康支撑体系。</w:t>
      </w:r>
      <w:r>
        <w:rPr>
          <w:rFonts w:hint="eastAsia" w:ascii="仿宋_GB2312" w:hAnsi="仿宋_GB2312" w:eastAsia="仿宋_GB2312" w:cs="仿宋_GB2312"/>
          <w:b w:val="0"/>
          <w:bCs w:val="0"/>
          <w:color w:val="000000"/>
          <w:sz w:val="32"/>
          <w:szCs w:val="32"/>
          <w:shd w:val="clear" w:color="auto" w:fill="auto"/>
          <w:lang w:val="en-US" w:eastAsia="zh-CN"/>
        </w:rPr>
        <w:t>〔市卫生健康委、民政局、财政局按职责分工负责，区县（市）人民政府负责〕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105" w:rightChars="-50" w:firstLine="640" w:firstLineChars="200"/>
        <w:jc w:val="both"/>
        <w:textAlignment w:val="auto"/>
        <w:outlineLvl w:val="9"/>
        <w:rPr>
          <w:rFonts w:hint="default" w:ascii="仿宋_GB2312" w:hAnsi="仿宋_GB2312" w:eastAsia="仿宋_GB2312" w:cs="仿宋_GB2312"/>
          <w:b w:val="0"/>
          <w:bCs w:val="0"/>
          <w:color w:val="000000"/>
          <w:sz w:val="32"/>
          <w:szCs w:val="32"/>
          <w:shd w:val="clear" w:color="auto" w:fill="auto"/>
          <w:lang w:val="en-US" w:eastAsia="zh-CN"/>
        </w:rPr>
      </w:pPr>
      <w:r>
        <w:rPr>
          <w:rFonts w:hint="eastAsia" w:ascii="楷体_GB2312" w:hAnsi="楷体_GB2312" w:eastAsia="楷体_GB2312" w:cs="楷体_GB2312"/>
          <w:b w:val="0"/>
          <w:bCs w:val="0"/>
          <w:color w:val="000000"/>
          <w:sz w:val="32"/>
          <w:szCs w:val="32"/>
          <w:shd w:val="clear" w:color="auto" w:fill="auto"/>
          <w:lang w:val="en-US" w:eastAsia="zh-CN"/>
        </w:rPr>
        <w:t>（二）不断扩大医养结合服务供给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1.支持举办医养结合机构。深化医疗和养老服务“放管服”改革，优化医养结合机构审批流程和环境。申请新举办医养结合机构的，实施“一窗受理”。医疗卫生机构利用现有资源提供养老服务的，涉及建设、消防、食品安全、卫生防疫等有关条件，可依据医疗卫生机构已具备的上述相应资质简化手续，直接进行登记备案。符合条件的，享受养老机构相关扶持政策。公立医疗机构申请设立养老机构的，应当依法向本级编办提出主要职责调整和变更登记申请，在事业单位主要职责及法人证书“宗旨和业务范围”中增加“养老服务、培训”等职能。政府对社会办医养结合机构区域总量不作规划限制。卫生健康行政部门要将医养结合机构的医疗卫生服务作为医政管理工作的重要内容之一，加强指导、监管和考核；民政部门要创新养老机构管理方式，建立养老机构综合监管制度；医疗保障部门要根据医养结合机构内设医疗机构特点，将符合条件的按规定纳入医保协议管理范围，实时开通医保和门诊统筹，完善协议管理规定，依法严格监管。各区县（市）对医养结合机构和医养签约合作服务质量评估检查每年不少于1次。〔市卫生健康委、民政局、发改委、医保局、财政局按职责分工负责，区县（市）人民政府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i w:val="0"/>
          <w:iCs w:val="0"/>
          <w:caps w:val="0"/>
          <w:color w:val="333333"/>
          <w:spacing w:val="0"/>
          <w:sz w:val="32"/>
          <w:szCs w:val="32"/>
          <w:lang w:val="en-US" w:eastAsia="zh-CN"/>
        </w:rPr>
        <w:t>2.</w:t>
      </w:r>
      <w:r>
        <w:rPr>
          <w:rFonts w:hint="eastAsia" w:ascii="仿宋_GB2312" w:hAnsi="仿宋_GB2312" w:eastAsia="仿宋_GB2312" w:cs="仿宋_GB2312"/>
          <w:b w:val="0"/>
          <w:bCs w:val="0"/>
          <w:color w:val="auto"/>
          <w:sz w:val="32"/>
          <w:szCs w:val="32"/>
          <w:shd w:val="clear" w:color="auto" w:fill="auto"/>
          <w:lang w:val="en-US" w:eastAsia="zh-CN"/>
        </w:rPr>
        <w:t>促进医疗机构和养老机</w:t>
      </w:r>
      <w:r>
        <w:rPr>
          <w:rFonts w:hint="default" w:ascii="仿宋_GB2312" w:hAnsi="仿宋_GB2312" w:eastAsia="仿宋_GB2312" w:cs="仿宋_GB2312"/>
          <w:b w:val="0"/>
          <w:bCs w:val="0"/>
          <w:color w:val="auto"/>
          <w:sz w:val="32"/>
          <w:szCs w:val="32"/>
          <w:shd w:val="clear" w:color="auto" w:fill="auto"/>
          <w:lang w:val="en-US" w:eastAsia="zh-CN"/>
        </w:rPr>
        <w:t>构</w:t>
      </w:r>
      <w:r>
        <w:rPr>
          <w:rFonts w:hint="eastAsia" w:ascii="仿宋_GB2312" w:hAnsi="仿宋_GB2312" w:eastAsia="仿宋_GB2312" w:cs="仿宋_GB2312"/>
          <w:b w:val="0"/>
          <w:bCs w:val="0"/>
          <w:color w:val="auto"/>
          <w:sz w:val="32"/>
          <w:szCs w:val="32"/>
          <w:shd w:val="clear" w:color="auto" w:fill="auto"/>
          <w:lang w:val="en-US" w:eastAsia="zh-CN"/>
        </w:rPr>
        <w:t>合作</w:t>
      </w:r>
      <w:r>
        <w:rPr>
          <w:rFonts w:hint="default" w:ascii="仿宋_GB2312" w:hAnsi="仿宋_GB2312" w:eastAsia="仿宋_GB2312" w:cs="仿宋_GB2312"/>
          <w:b w:val="0"/>
          <w:bCs w:val="0"/>
          <w:color w:val="auto"/>
          <w:sz w:val="32"/>
          <w:szCs w:val="32"/>
          <w:shd w:val="clear" w:color="auto" w:fill="auto"/>
          <w:lang w:val="en-US" w:eastAsia="zh-CN"/>
        </w:rPr>
        <w:t>。</w:t>
      </w:r>
      <w:r>
        <w:rPr>
          <w:rFonts w:hint="eastAsia" w:ascii="仿宋_GB2312" w:hAnsi="仿宋_GB2312" w:eastAsia="仿宋_GB2312" w:cs="仿宋_GB2312"/>
          <w:b w:val="0"/>
          <w:bCs w:val="0"/>
          <w:color w:val="auto"/>
          <w:sz w:val="32"/>
          <w:szCs w:val="32"/>
          <w:shd w:val="clear" w:color="auto" w:fill="auto"/>
          <w:lang w:val="en-US" w:eastAsia="zh-CN"/>
        </w:rPr>
        <w:t>发挥优势互补，在养老机构内部设置医务室、护理站，或者与周边一级及以上医疗机构签订协议,结为定点对口服务单位或医养联合体，及时便捷地为养老机构入住的老年人提供持续、综合的医疗康复护理服务</w:t>
      </w:r>
      <w:r>
        <w:rPr>
          <w:rFonts w:hint="default" w:ascii="仿宋_GB2312" w:hAnsi="仿宋_GB2312" w:eastAsia="仿宋_GB2312" w:cs="仿宋_GB2312"/>
          <w:b w:val="0"/>
          <w:bCs w:val="0"/>
          <w:color w:val="auto"/>
          <w:sz w:val="32"/>
          <w:szCs w:val="32"/>
          <w:shd w:val="clear" w:color="auto" w:fill="auto"/>
          <w:lang w:val="en-US" w:eastAsia="zh-CN"/>
        </w:rPr>
        <w:t>。</w:t>
      </w:r>
      <w:r>
        <w:rPr>
          <w:rFonts w:hint="eastAsia" w:ascii="仿宋_GB2312" w:hAnsi="仿宋_GB2312" w:eastAsia="仿宋_GB2312" w:cs="仿宋_GB2312"/>
          <w:b w:val="0"/>
          <w:bCs w:val="0"/>
          <w:color w:val="auto"/>
          <w:sz w:val="32"/>
          <w:szCs w:val="32"/>
          <w:shd w:val="clear" w:color="auto" w:fill="auto"/>
          <w:lang w:val="en-US" w:eastAsia="zh-CN"/>
        </w:rPr>
        <w:t>探索设置医养结合床位，开通医保定点及门诊统筹，按照规定纳入基本医疗保险支付范围。</w:t>
      </w:r>
      <w:r>
        <w:rPr>
          <w:rFonts w:hint="default" w:ascii="仿宋_GB2312" w:hAnsi="仿宋_GB2312" w:eastAsia="仿宋_GB2312" w:cs="仿宋_GB2312"/>
          <w:b w:val="0"/>
          <w:bCs w:val="0"/>
          <w:color w:val="auto"/>
          <w:sz w:val="32"/>
          <w:szCs w:val="32"/>
          <w:shd w:val="clear" w:color="auto" w:fill="auto"/>
          <w:lang w:val="en-US" w:eastAsia="zh-CN"/>
        </w:rPr>
        <w:t>强化</w:t>
      </w:r>
      <w:r>
        <w:rPr>
          <w:rFonts w:hint="eastAsia" w:ascii="仿宋_GB2312" w:hAnsi="仿宋_GB2312" w:eastAsia="仿宋_GB2312" w:cs="仿宋_GB2312"/>
          <w:b w:val="0"/>
          <w:bCs w:val="0"/>
          <w:color w:val="auto"/>
          <w:sz w:val="32"/>
          <w:szCs w:val="32"/>
          <w:shd w:val="clear" w:color="auto" w:fill="auto"/>
          <w:lang w:val="en-US" w:eastAsia="zh-CN"/>
        </w:rPr>
        <w:t>“</w:t>
      </w:r>
      <w:r>
        <w:rPr>
          <w:rFonts w:hint="default" w:ascii="仿宋_GB2312" w:hAnsi="仿宋_GB2312" w:eastAsia="仿宋_GB2312" w:cs="仿宋_GB2312"/>
          <w:b w:val="0"/>
          <w:bCs w:val="0"/>
          <w:color w:val="auto"/>
          <w:sz w:val="32"/>
          <w:szCs w:val="32"/>
          <w:shd w:val="clear" w:color="auto" w:fill="auto"/>
          <w:lang w:val="en-US" w:eastAsia="zh-CN"/>
        </w:rPr>
        <w:t>养</w:t>
      </w:r>
      <w:r>
        <w:rPr>
          <w:rFonts w:hint="eastAsia" w:ascii="仿宋_GB2312" w:hAnsi="仿宋_GB2312" w:eastAsia="仿宋_GB2312" w:cs="仿宋_GB2312"/>
          <w:b w:val="0"/>
          <w:bCs w:val="0"/>
          <w:color w:val="auto"/>
          <w:sz w:val="32"/>
          <w:szCs w:val="32"/>
          <w:shd w:val="clear" w:color="auto" w:fill="auto"/>
          <w:lang w:val="en-US" w:eastAsia="zh-CN"/>
        </w:rPr>
        <w:t>”“</w:t>
      </w:r>
      <w:r>
        <w:rPr>
          <w:rFonts w:hint="default" w:ascii="仿宋_GB2312" w:hAnsi="仿宋_GB2312" w:eastAsia="仿宋_GB2312" w:cs="仿宋_GB2312"/>
          <w:b w:val="0"/>
          <w:bCs w:val="0"/>
          <w:color w:val="auto"/>
          <w:sz w:val="32"/>
          <w:szCs w:val="32"/>
          <w:shd w:val="clear" w:color="auto" w:fill="auto"/>
          <w:lang w:val="en-US" w:eastAsia="zh-CN"/>
        </w:rPr>
        <w:t>医</w:t>
      </w:r>
      <w:r>
        <w:rPr>
          <w:rFonts w:hint="eastAsia" w:ascii="仿宋_GB2312" w:hAnsi="仿宋_GB2312" w:eastAsia="仿宋_GB2312" w:cs="仿宋_GB2312"/>
          <w:b w:val="0"/>
          <w:bCs w:val="0"/>
          <w:color w:val="auto"/>
          <w:sz w:val="32"/>
          <w:szCs w:val="32"/>
          <w:shd w:val="clear" w:color="auto" w:fill="auto"/>
          <w:lang w:val="en-US" w:eastAsia="zh-CN"/>
        </w:rPr>
        <w:t>”</w:t>
      </w:r>
      <w:r>
        <w:rPr>
          <w:rFonts w:hint="default" w:ascii="仿宋_GB2312" w:hAnsi="仿宋_GB2312" w:eastAsia="仿宋_GB2312" w:cs="仿宋_GB2312"/>
          <w:b w:val="0"/>
          <w:bCs w:val="0"/>
          <w:color w:val="auto"/>
          <w:sz w:val="32"/>
          <w:szCs w:val="32"/>
          <w:shd w:val="clear" w:color="auto" w:fill="auto"/>
          <w:lang w:val="en-US" w:eastAsia="zh-CN"/>
        </w:rPr>
        <w:t>服务衔接</w:t>
      </w:r>
      <w:r>
        <w:rPr>
          <w:rFonts w:hint="eastAsia" w:ascii="仿宋_GB2312" w:hAnsi="仿宋_GB2312" w:eastAsia="仿宋_GB2312" w:cs="仿宋_GB2312"/>
          <w:b w:val="0"/>
          <w:bCs w:val="0"/>
          <w:color w:val="auto"/>
          <w:sz w:val="32"/>
          <w:szCs w:val="32"/>
          <w:shd w:val="clear" w:color="auto" w:fill="auto"/>
          <w:lang w:val="en-US" w:eastAsia="zh-CN"/>
        </w:rPr>
        <w:t>，明确各自的管理路径，通过系统控制，确保“医”“养”信息准确切换并及时更新。〔市卫健委、市民政局、市医保局按职责分工负责</w:t>
      </w:r>
      <w:r>
        <w:rPr>
          <w:rFonts w:hint="eastAsia" w:ascii="仿宋_GB2312" w:hAnsi="仿宋_GB2312" w:eastAsia="仿宋_GB2312" w:cs="仿宋_GB2312"/>
          <w:b w:val="0"/>
          <w:bCs w:val="0"/>
          <w:color w:val="000000"/>
          <w:sz w:val="32"/>
          <w:szCs w:val="32"/>
          <w:shd w:val="clear" w:color="auto" w:fill="auto"/>
          <w:lang w:val="en-US" w:eastAsia="zh-CN"/>
        </w:rPr>
        <w:t>，区县（市）人民政府负责</w:t>
      </w:r>
      <w:r>
        <w:rPr>
          <w:rFonts w:hint="eastAsia" w:ascii="仿宋_GB2312" w:hAnsi="仿宋_GB2312" w:eastAsia="仿宋_GB2312" w:cs="仿宋_GB2312"/>
          <w:b w:val="0"/>
          <w:bCs w:val="0"/>
          <w:color w:val="auto"/>
          <w:sz w:val="32"/>
          <w:szCs w:val="32"/>
          <w:shd w:val="clear" w:color="auto" w:fill="auto"/>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3.鼓励医疗机构开展失能老年人医疗照护服务。</w:t>
      </w:r>
      <w:r>
        <w:rPr>
          <w:rFonts w:hint="eastAsia" w:eastAsia="仿宋_GB2312" w:cs="仿宋_GB2312"/>
          <w:sz w:val="32"/>
          <w:szCs w:val="32"/>
          <w:lang w:val="en-US" w:eastAsia="zh-CN"/>
        </w:rPr>
        <w:t>利用</w:t>
      </w:r>
      <w:r>
        <w:rPr>
          <w:rFonts w:hint="eastAsia" w:ascii="Times New Roman" w:hAnsi="Times New Roman" w:eastAsia="仿宋_GB2312" w:cs="仿宋_GB2312"/>
          <w:sz w:val="32"/>
          <w:szCs w:val="32"/>
        </w:rPr>
        <w:t>医疗机构中</w:t>
      </w:r>
      <w:r>
        <w:rPr>
          <w:rFonts w:hint="eastAsia" w:eastAsia="仿宋_GB2312" w:cs="仿宋_GB2312"/>
          <w:sz w:val="32"/>
          <w:szCs w:val="32"/>
          <w:lang w:val="en-US" w:eastAsia="zh-CN"/>
        </w:rPr>
        <w:t>的</w:t>
      </w:r>
      <w:r>
        <w:rPr>
          <w:rFonts w:hint="eastAsia" w:ascii="仿宋_GB2312" w:hAnsi="仿宋_GB2312" w:eastAsia="仿宋_GB2312" w:cs="仿宋_GB2312"/>
          <w:b w:val="0"/>
          <w:bCs w:val="0"/>
          <w:color w:val="auto"/>
          <w:sz w:val="32"/>
          <w:szCs w:val="32"/>
          <w:shd w:val="clear" w:color="auto" w:fill="auto"/>
          <w:lang w:val="en-US" w:eastAsia="zh-CN"/>
        </w:rPr>
        <w:t>空置</w:t>
      </w:r>
      <w:r>
        <w:rPr>
          <w:rFonts w:hint="eastAsia" w:eastAsia="仿宋_GB2312" w:cs="仿宋_GB2312"/>
          <w:sz w:val="32"/>
          <w:szCs w:val="32"/>
          <w:lang w:val="en-US" w:eastAsia="zh-CN"/>
        </w:rPr>
        <w:t>床位，</w:t>
      </w:r>
      <w:r>
        <w:rPr>
          <w:rFonts w:hint="eastAsia" w:ascii="仿宋_GB2312" w:hAnsi="仿宋_GB2312" w:eastAsia="仿宋_GB2312" w:cs="仿宋_GB2312"/>
          <w:b w:val="0"/>
          <w:bCs w:val="0"/>
          <w:color w:val="auto"/>
          <w:sz w:val="32"/>
          <w:szCs w:val="32"/>
          <w:shd w:val="clear" w:color="auto" w:fill="auto"/>
          <w:lang w:val="en-US" w:eastAsia="zh-CN"/>
        </w:rPr>
        <w:t>设置</w:t>
      </w:r>
      <w:r>
        <w:rPr>
          <w:rFonts w:hint="eastAsia" w:ascii="Times New Roman" w:hAnsi="Times New Roman" w:eastAsia="仿宋_GB2312" w:cs="仿宋_GB2312"/>
          <w:sz w:val="32"/>
          <w:szCs w:val="32"/>
          <w:lang w:val="en-US" w:eastAsia="zh-CN"/>
        </w:rPr>
        <w:t>失能老年人</w:t>
      </w:r>
      <w:r>
        <w:rPr>
          <w:rFonts w:hint="eastAsia" w:ascii="仿宋_GB2312" w:hAnsi="仿宋_GB2312" w:eastAsia="仿宋_GB2312" w:cs="仿宋_GB2312"/>
          <w:b w:val="0"/>
          <w:bCs w:val="0"/>
          <w:color w:val="auto"/>
          <w:sz w:val="32"/>
          <w:szCs w:val="32"/>
          <w:shd w:val="clear" w:color="auto" w:fill="auto"/>
          <w:lang w:val="en-US" w:eastAsia="zh-CN"/>
        </w:rPr>
        <w:t>医疗、康复、护理、安宁疗护于一体的综合服务</w:t>
      </w:r>
      <w:r>
        <w:rPr>
          <w:rFonts w:hint="eastAsia" w:ascii="Times New Roman" w:hAnsi="Times New Roman" w:eastAsia="仿宋_GB2312" w:cs="仿宋_GB2312"/>
          <w:sz w:val="32"/>
          <w:szCs w:val="32"/>
        </w:rPr>
        <w:t>床位</w:t>
      </w:r>
      <w:r>
        <w:rPr>
          <w:rFonts w:hint="eastAsia" w:eastAsia="仿宋_GB2312" w:cs="仿宋_GB2312"/>
          <w:sz w:val="32"/>
          <w:szCs w:val="32"/>
          <w:lang w:eastAsia="zh-CN"/>
        </w:rPr>
        <w:t>。</w:t>
      </w:r>
      <w:r>
        <w:rPr>
          <w:rFonts w:hint="eastAsia" w:ascii="Times New Roman" w:hAnsi="Times New Roman" w:eastAsia="仿宋_GB2312" w:cs="仿宋_GB2312"/>
          <w:sz w:val="32"/>
          <w:szCs w:val="32"/>
        </w:rPr>
        <w:t>由区县（市）卫生健康委认定</w:t>
      </w:r>
      <w:r>
        <w:rPr>
          <w:rFonts w:hint="eastAsia" w:eastAsia="仿宋_GB2312" w:cs="仿宋_GB2312"/>
          <w:sz w:val="32"/>
          <w:szCs w:val="32"/>
          <w:lang w:eastAsia="zh-CN"/>
        </w:rPr>
        <w:t>（</w:t>
      </w:r>
      <w:r>
        <w:rPr>
          <w:rFonts w:hint="eastAsia" w:eastAsia="仿宋_GB2312" w:cs="仿宋_GB2312"/>
          <w:sz w:val="32"/>
          <w:szCs w:val="32"/>
          <w:lang w:val="en-US" w:eastAsia="zh-CN"/>
        </w:rPr>
        <w:t>备案</w:t>
      </w:r>
      <w:r>
        <w:rPr>
          <w:rFonts w:hint="eastAsia" w:eastAsia="仿宋_GB2312" w:cs="仿宋_GB2312"/>
          <w:sz w:val="32"/>
          <w:szCs w:val="32"/>
          <w:lang w:eastAsia="zh-CN"/>
        </w:rPr>
        <w:t>），</w:t>
      </w:r>
      <w:r>
        <w:rPr>
          <w:rFonts w:hint="eastAsia" w:ascii="Times New Roman" w:hAnsi="Times New Roman" w:eastAsia="仿宋_GB2312" w:cs="仿宋_GB2312"/>
          <w:sz w:val="32"/>
          <w:szCs w:val="32"/>
        </w:rPr>
        <w:t>提供“病时医疗，康时</w:t>
      </w:r>
      <w:r>
        <w:rPr>
          <w:rFonts w:hint="eastAsia" w:eastAsia="仿宋_GB2312" w:cs="仿宋_GB2312"/>
          <w:sz w:val="32"/>
          <w:szCs w:val="32"/>
          <w:lang w:val="en-US" w:eastAsia="zh-CN"/>
        </w:rPr>
        <w:t>照</w:t>
      </w:r>
      <w:r>
        <w:rPr>
          <w:rFonts w:hint="eastAsia" w:ascii="Times New Roman" w:hAnsi="Times New Roman" w:eastAsia="仿宋_GB2312" w:cs="仿宋_GB2312"/>
          <w:sz w:val="32"/>
          <w:szCs w:val="32"/>
        </w:rPr>
        <w:t>护”</w:t>
      </w:r>
      <w:r>
        <w:rPr>
          <w:rFonts w:hint="eastAsia" w:eastAsia="仿宋_GB2312" w:cs="仿宋_GB2312"/>
          <w:sz w:val="32"/>
          <w:szCs w:val="32"/>
          <w:lang w:val="en-US" w:eastAsia="zh-CN"/>
        </w:rPr>
        <w:t>服务</w:t>
      </w:r>
      <w:r>
        <w:rPr>
          <w:rFonts w:hint="eastAsia" w:ascii="Times New Roman" w:hAnsi="Times New Roman" w:eastAsia="仿宋_GB2312" w:cs="仿宋_GB2312"/>
          <w:sz w:val="32"/>
          <w:szCs w:val="32"/>
        </w:rPr>
        <w:t>。</w:t>
      </w:r>
      <w:r>
        <w:rPr>
          <w:rFonts w:hint="eastAsia" w:eastAsia="仿宋_GB2312" w:cs="仿宋_GB2312"/>
          <w:sz w:val="32"/>
          <w:szCs w:val="32"/>
          <w:lang w:val="en-US" w:eastAsia="zh-CN"/>
        </w:rPr>
        <w:t>床位设置应当区分档次，采取市场化运营的方式，</w:t>
      </w:r>
      <w:r>
        <w:rPr>
          <w:rFonts w:hint="eastAsia" w:ascii="Times New Roman" w:hAnsi="Times New Roman" w:eastAsia="仿宋_GB2312" w:cs="仿宋_GB2312"/>
          <w:sz w:val="32"/>
          <w:szCs w:val="32"/>
        </w:rPr>
        <w:t>重点为身体患病需要接受长期治疗</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长期卧床需要医疗</w:t>
      </w:r>
      <w:r>
        <w:rPr>
          <w:rFonts w:hint="eastAsia" w:ascii="仿宋_GB2312" w:hAnsi="仿宋_GB2312" w:eastAsia="仿宋_GB2312" w:cs="仿宋_GB2312"/>
          <w:b w:val="0"/>
          <w:bCs w:val="0"/>
          <w:color w:val="000000"/>
          <w:sz w:val="32"/>
          <w:szCs w:val="32"/>
          <w:shd w:val="clear" w:color="auto" w:fill="auto"/>
          <w:lang w:val="en-US" w:eastAsia="zh-CN"/>
        </w:rPr>
        <w:t>干预、重大疾病后需要康复和疾病终末期需要安宁疗护的老年人提供多样化、个性化“医康护”服务。〔市卫生健康委负责，区县（市）人民政府负责〕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105" w:rightChars="-50" w:firstLine="640" w:firstLineChars="200"/>
        <w:jc w:val="both"/>
        <w:textAlignment w:val="auto"/>
        <w:outlineLvl w:val="9"/>
        <w:rPr>
          <w:rFonts w:hint="default" w:ascii="楷体_GB2312" w:hAnsi="楷体_GB2312" w:eastAsia="楷体_GB2312" w:cs="楷体_GB2312"/>
          <w:b w:val="0"/>
          <w:bCs w:val="0"/>
          <w:color w:val="000000"/>
          <w:sz w:val="32"/>
          <w:szCs w:val="32"/>
          <w:shd w:val="clear" w:color="auto" w:fill="auto"/>
          <w:lang w:val="en-US" w:eastAsia="zh-CN"/>
        </w:rPr>
      </w:pPr>
      <w:r>
        <w:rPr>
          <w:rFonts w:hint="eastAsia" w:ascii="楷体_GB2312" w:hAnsi="楷体_GB2312" w:eastAsia="楷体_GB2312" w:cs="楷体_GB2312"/>
          <w:b w:val="0"/>
          <w:bCs w:val="0"/>
          <w:color w:val="000000"/>
          <w:sz w:val="32"/>
          <w:szCs w:val="32"/>
          <w:shd w:val="clear" w:color="auto" w:fill="auto"/>
          <w:lang w:val="en-US" w:eastAsia="zh-CN"/>
        </w:rPr>
        <w:t>（三）推动开展居家社区医养结合服务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1.搭建社区医疗健康服务平台。区县（市）人民政府应当围绕郑州市“大中心+小中心+数字化”智慧化居家养老服务体系和“百千万”温暖工程建设的目标要求，整合社区卫生服务中心（站）、乡镇卫生院、护理院（站）、护理中心等医疗卫生机构和社会资源，</w:t>
      </w:r>
      <w:r>
        <w:rPr>
          <w:rFonts w:hint="default" w:ascii="仿宋_GB2312" w:hAnsi="仿宋_GB2312" w:eastAsia="仿宋_GB2312" w:cs="仿宋_GB2312"/>
          <w:b w:val="0"/>
          <w:bCs w:val="0"/>
          <w:color w:val="auto"/>
          <w:sz w:val="32"/>
          <w:szCs w:val="32"/>
          <w:shd w:val="clear" w:color="auto" w:fill="auto"/>
          <w:lang w:val="en-US" w:eastAsia="zh-CN"/>
        </w:rPr>
        <w:t>探索建立医养联合体。</w:t>
      </w:r>
      <w:r>
        <w:rPr>
          <w:rFonts w:hint="eastAsia" w:ascii="仿宋_GB2312" w:hAnsi="仿宋_GB2312" w:eastAsia="仿宋_GB2312" w:cs="仿宋_GB2312"/>
          <w:b w:val="0"/>
          <w:bCs w:val="0"/>
          <w:color w:val="auto"/>
          <w:sz w:val="32"/>
          <w:szCs w:val="32"/>
          <w:shd w:val="clear" w:color="auto" w:fill="auto"/>
          <w:lang w:val="en-US" w:eastAsia="zh-CN"/>
        </w:rPr>
        <w:t>根据社区老年人的健康养老服务需求情况，设置社区医养结合服务站和健康小屋；探索建立门诊统筹，完善老年人慢病用药和社区康复治疗政策；</w:t>
      </w:r>
      <w:r>
        <w:rPr>
          <w:rFonts w:hint="default" w:ascii="仿宋_GB2312" w:hAnsi="仿宋_GB2312" w:eastAsia="仿宋_GB2312" w:cs="仿宋_GB2312"/>
          <w:b w:val="0"/>
          <w:bCs w:val="0"/>
          <w:color w:val="auto"/>
          <w:sz w:val="32"/>
          <w:szCs w:val="32"/>
          <w:shd w:val="clear" w:color="auto" w:fill="auto"/>
          <w:lang w:val="en-US" w:eastAsia="zh-CN"/>
        </w:rPr>
        <w:t>通过信息联通、设施共享、人员对接等手段，将巡视探访、上门巡诊等医养服务有效衔接</w:t>
      </w:r>
      <w:r>
        <w:rPr>
          <w:rFonts w:hint="eastAsia" w:ascii="仿宋_GB2312" w:hAnsi="仿宋_GB2312" w:eastAsia="仿宋_GB2312" w:cs="仿宋_GB2312"/>
          <w:b w:val="0"/>
          <w:bCs w:val="0"/>
          <w:color w:val="auto"/>
          <w:sz w:val="32"/>
          <w:szCs w:val="32"/>
          <w:shd w:val="clear" w:color="auto" w:fill="auto"/>
          <w:lang w:val="en-US" w:eastAsia="zh-CN"/>
        </w:rPr>
        <w:t>，提供定期体检、社区护理、健康管理和开展中医特色老年人康复、护理等健康服务。〔市卫健委、市民政局、市医保局按职责分工负责，区县（市）人民政府负责〕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2.深化医养签约和老年健康服务。推动落实家庭医生签约服务，为65岁以上老年人建立健康档案，提供健康评估、体格检查、健康管理、慢性病管理和健康指导服务，健康管理率达到75%以上</w:t>
      </w:r>
      <w:r>
        <w:rPr>
          <w:rFonts w:hint="default" w:ascii="仿宋_GB2312" w:hAnsi="仿宋_GB2312" w:eastAsia="仿宋_GB2312" w:cs="仿宋_GB2312"/>
          <w:b w:val="0"/>
          <w:bCs w:val="0"/>
          <w:color w:val="auto"/>
          <w:sz w:val="32"/>
          <w:szCs w:val="32"/>
          <w:shd w:val="clear" w:color="auto" w:fill="auto"/>
          <w:lang w:val="en-US" w:eastAsia="zh-CN"/>
        </w:rPr>
        <w:t>。</w:t>
      </w:r>
      <w:r>
        <w:rPr>
          <w:rFonts w:hint="eastAsia" w:ascii="仿宋_GB2312" w:hAnsi="仿宋_GB2312" w:eastAsia="仿宋_GB2312" w:cs="仿宋_GB2312"/>
          <w:b w:val="0"/>
          <w:bCs w:val="0"/>
          <w:color w:val="auto"/>
          <w:sz w:val="32"/>
          <w:szCs w:val="32"/>
          <w:shd w:val="clear" w:color="auto" w:fill="auto"/>
          <w:lang w:val="en-US" w:eastAsia="zh-CN"/>
        </w:rPr>
        <w:t>养老机构和居家养老服务机构应通过设置医疗卫生机构或与周边具备相应资质和能力的医疗卫生机构开展签约合作，为机构内老年人提供医疗健康服务。利用基本公共卫生服务平台、卫生健康大讲堂和中医名家讲堂，采取多种形式，开展老年保健、老年疾病防治与康复等内容的健康教育活动，宣传适宜老年人的中医养生保健方法，促进老年人形成健康生活方式，提高老年人健康素养；推广老年期常见疾病防控经验和防治适宜技术，开展预防老年人跌倒等干预和健康指导。建立健全老年健康危险因素干预、疾病早发现早诊断早治疗、失能预防三级预防体系。老年大学和老年教育机构要将健康教育纳入课程体系和教学内容。组建志愿者服务队伍，主动为行动不便的老年人提供门诊、住院陪同等“助医”服务。〔市卫健委、市民政局、市教育局、市医保局按职责分工负责，区县（市）人民政府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3.支持</w:t>
      </w:r>
      <w:r>
        <w:rPr>
          <w:rFonts w:hint="eastAsia" w:ascii="仿宋_GB2312" w:hAnsi="仿宋_GB2312" w:eastAsia="仿宋_GB2312" w:cs="仿宋_GB2312"/>
          <w:b w:val="0"/>
          <w:bCs w:val="0"/>
          <w:color w:val="auto"/>
          <w:sz w:val="32"/>
          <w:szCs w:val="32"/>
          <w:shd w:val="clear" w:color="auto" w:fill="auto"/>
          <w:lang w:val="en-US" w:eastAsia="zh-CN"/>
        </w:rPr>
        <w:t>符合相关规定医疗机构参与家庭医生签约服务。鼓励符合相关规定的社会办医疗机构、医养结合机构参与家庭医生签约服务（有关工作指引详见附件），</w:t>
      </w:r>
      <w:r>
        <w:rPr>
          <w:rFonts w:ascii="Times New Roman" w:hAnsi="Times New Roman" w:eastAsia="仿宋_GB2312"/>
          <w:sz w:val="32"/>
          <w:szCs w:val="32"/>
        </w:rPr>
        <w:t>承担所辖范围内家庭医生签约服务工作和基本公共卫生服务项目工作</w:t>
      </w:r>
      <w:r>
        <w:rPr>
          <w:rFonts w:hint="eastAsia" w:ascii="仿宋_GB2312" w:hAnsi="仿宋_GB2312" w:eastAsia="仿宋_GB2312" w:cs="仿宋_GB2312"/>
          <w:b w:val="0"/>
          <w:bCs w:val="0"/>
          <w:color w:val="auto"/>
          <w:sz w:val="32"/>
          <w:szCs w:val="32"/>
          <w:shd w:val="clear" w:color="auto" w:fill="auto"/>
          <w:lang w:val="en-US" w:eastAsia="zh-CN"/>
        </w:rPr>
        <w:t>。〔市医保局、卫生健康委、民政局按职责分工负责，区县（市）人民政府负责〕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4.鼓励上门医疗护理服务。积极开展“互联网+护理”，为居家或入住养老机构的失能老年人提供健康指导、医疗护理、安宁疗护等上门护理服务。上门医疗护理、药品等费用按照规定纳入医保支付范围。鼓励由街道、社区提供场地，社会力量举办护理中心（站）等，开展社区“嵌入式、小型化、连锁化”医养结合服务。护理站可纳入辖区内社区卫生服务中心（乡镇卫生院）统筹指导，作为服务站点补充，符合条件的可开展上门护理服务。〔市卫生健康委、医保局、民政局按职责分工负责，区县（市）人民政府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楷体_GB2312" w:hAnsi="楷体_GB2312" w:eastAsia="楷体_GB2312" w:cs="楷体_GB2312"/>
          <w:b w:val="0"/>
          <w:bCs w:val="0"/>
          <w:color w:val="000000"/>
          <w:kern w:val="2"/>
          <w:sz w:val="32"/>
          <w:szCs w:val="32"/>
          <w:shd w:val="clear" w:color="auto" w:fill="auto"/>
          <w:lang w:val="en-US" w:eastAsia="zh-CN" w:bidi="ar-SA"/>
        </w:rPr>
        <w:t>（四）推进智慧医养结合服务。</w:t>
      </w:r>
      <w:r>
        <w:rPr>
          <w:rFonts w:hint="eastAsia" w:ascii="仿宋_GB2312" w:hAnsi="仿宋_GB2312" w:eastAsia="仿宋_GB2312" w:cs="仿宋_GB2312"/>
          <w:b w:val="0"/>
          <w:bCs w:val="0"/>
          <w:color w:val="auto"/>
          <w:sz w:val="32"/>
          <w:szCs w:val="32"/>
          <w:shd w:val="clear" w:color="auto" w:fill="auto"/>
          <w:lang w:val="en-US" w:eastAsia="zh-CN"/>
        </w:rPr>
        <w:t>推动老年智慧健康服务能力建设，建立多部门信息共享和安全保护机制。</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b w:val="0"/>
          <w:bCs w:val="0"/>
          <w:color w:val="auto"/>
          <w:sz w:val="32"/>
          <w:szCs w:val="32"/>
          <w:shd w:val="clear" w:color="auto" w:fill="auto"/>
          <w:lang w:val="en-US" w:eastAsia="zh-CN"/>
        </w:rPr>
        <w:t>老年</w:t>
      </w:r>
      <w:r>
        <w:rPr>
          <w:rFonts w:hint="default" w:ascii="仿宋_GB2312" w:hAnsi="仿宋_GB2312" w:eastAsia="仿宋_GB2312" w:cs="仿宋_GB2312"/>
          <w:b w:val="0"/>
          <w:bCs w:val="0"/>
          <w:color w:val="auto"/>
          <w:sz w:val="32"/>
          <w:szCs w:val="32"/>
          <w:shd w:val="clear" w:color="auto" w:fill="auto"/>
          <w:lang w:val="en" w:eastAsia="zh-CN"/>
        </w:rPr>
        <w:t>健康</w:t>
      </w:r>
      <w:r>
        <w:rPr>
          <w:rFonts w:hint="eastAsia" w:ascii="仿宋_GB2312" w:hAnsi="仿宋_GB2312" w:eastAsia="仿宋_GB2312" w:cs="仿宋_GB2312"/>
          <w:b w:val="0"/>
          <w:bCs w:val="0"/>
          <w:color w:val="auto"/>
          <w:sz w:val="32"/>
          <w:szCs w:val="32"/>
          <w:shd w:val="clear" w:color="auto" w:fill="auto"/>
          <w:lang w:val="en-US" w:eastAsia="zh-CN"/>
        </w:rPr>
        <w:t>、失能老年人</w:t>
      </w:r>
      <w:r>
        <w:rPr>
          <w:rFonts w:hint="eastAsia" w:ascii="仿宋_GB2312" w:hAnsi="仿宋_GB2312" w:eastAsia="仿宋_GB2312" w:cs="仿宋_GB2312"/>
          <w:b w:val="0"/>
          <w:bCs w:val="0"/>
          <w:color w:val="auto"/>
          <w:sz w:val="32"/>
          <w:szCs w:val="32"/>
          <w:shd w:val="clear" w:color="auto" w:fill="auto"/>
          <w:lang w:val="en" w:eastAsia="zh-CN"/>
        </w:rPr>
        <w:t>以及</w:t>
      </w:r>
      <w:r>
        <w:rPr>
          <w:rFonts w:hint="eastAsia" w:ascii="仿宋_GB2312" w:hAnsi="仿宋_GB2312" w:eastAsia="仿宋_GB2312" w:cs="仿宋_GB2312"/>
          <w:b w:val="0"/>
          <w:bCs w:val="0"/>
          <w:color w:val="auto"/>
          <w:sz w:val="32"/>
          <w:szCs w:val="32"/>
          <w:shd w:val="clear" w:color="auto" w:fill="auto"/>
          <w:lang w:val="en-US" w:eastAsia="zh-CN"/>
        </w:rPr>
        <w:t>老年</w:t>
      </w:r>
      <w:r>
        <w:rPr>
          <w:rFonts w:hint="default" w:ascii="仿宋_GB2312" w:hAnsi="仿宋_GB2312" w:eastAsia="仿宋_GB2312" w:cs="仿宋_GB2312"/>
          <w:b w:val="0"/>
          <w:bCs w:val="0"/>
          <w:color w:val="auto"/>
          <w:sz w:val="32"/>
          <w:szCs w:val="32"/>
          <w:shd w:val="clear" w:color="auto" w:fill="auto"/>
          <w:lang w:val="en" w:eastAsia="zh-CN"/>
        </w:rPr>
        <w:t>医疗机构</w:t>
      </w:r>
      <w:r>
        <w:rPr>
          <w:rFonts w:hint="eastAsia" w:ascii="仿宋_GB2312" w:hAnsi="仿宋_GB2312" w:eastAsia="仿宋_GB2312" w:cs="仿宋_GB2312"/>
          <w:b w:val="0"/>
          <w:bCs w:val="0"/>
          <w:color w:val="auto"/>
          <w:sz w:val="32"/>
          <w:szCs w:val="32"/>
          <w:shd w:val="clear" w:color="auto" w:fill="auto"/>
          <w:lang w:val="en-US" w:eastAsia="zh-CN"/>
        </w:rPr>
        <w:t>、医养结合</w:t>
      </w:r>
      <w:r>
        <w:rPr>
          <w:rFonts w:hint="default" w:ascii="仿宋_GB2312" w:hAnsi="仿宋_GB2312" w:eastAsia="仿宋_GB2312" w:cs="仿宋_GB2312"/>
          <w:b w:val="0"/>
          <w:bCs w:val="0"/>
          <w:color w:val="auto"/>
          <w:sz w:val="32"/>
          <w:szCs w:val="32"/>
          <w:shd w:val="clear" w:color="auto" w:fill="auto"/>
          <w:lang w:val="en" w:eastAsia="zh-CN"/>
        </w:rPr>
        <w:t>机构</w:t>
      </w:r>
      <w:r>
        <w:rPr>
          <w:rFonts w:hint="eastAsia" w:ascii="仿宋_GB2312" w:hAnsi="仿宋_GB2312" w:eastAsia="仿宋_GB2312" w:cs="仿宋_GB2312"/>
          <w:b w:val="0"/>
          <w:bCs w:val="0"/>
          <w:color w:val="auto"/>
          <w:sz w:val="32"/>
          <w:szCs w:val="32"/>
          <w:shd w:val="clear" w:color="auto" w:fill="auto"/>
          <w:lang w:val="en" w:eastAsia="zh-CN"/>
        </w:rPr>
        <w:t>相关信息</w:t>
      </w:r>
      <w:r>
        <w:rPr>
          <w:rFonts w:hint="eastAsia" w:ascii="仿宋_GB2312" w:hAnsi="仿宋_GB2312" w:eastAsia="仿宋_GB2312" w:cs="仿宋_GB2312"/>
          <w:b w:val="0"/>
          <w:bCs w:val="0"/>
          <w:color w:val="auto"/>
          <w:sz w:val="32"/>
          <w:szCs w:val="32"/>
          <w:shd w:val="clear" w:color="auto" w:fill="auto"/>
          <w:lang w:val="en-US" w:eastAsia="zh-CN"/>
        </w:rPr>
        <w:t>管理等的“郑州市老年医疗健康管理信息系统”。整合相关信息数据，开展动态监测和智能评估，定期发布评估报告；充分利用人工智能等技术，研发可穿戴的老年人健康支持技术和设备，探索开展远程实时健康监测等信息化服务。完善居民电子健康档案并加强管理，为老年人建立连续性电子健康档案并提供针对性的健康管理服务，老年人电子健康档案建档率达95%以上。</w:t>
      </w:r>
      <w:r>
        <w:rPr>
          <w:rFonts w:hint="default" w:ascii="仿宋_GB2312" w:hAnsi="仿宋_GB2312" w:eastAsia="仿宋_GB2312" w:cs="仿宋_GB2312"/>
          <w:b w:val="0"/>
          <w:bCs w:val="0"/>
          <w:color w:val="auto"/>
          <w:sz w:val="32"/>
          <w:szCs w:val="32"/>
          <w:shd w:val="clear" w:color="auto" w:fill="auto"/>
          <w:lang w:val="en-US" w:eastAsia="zh-CN"/>
        </w:rPr>
        <w:t>通过</w:t>
      </w:r>
      <w:r>
        <w:rPr>
          <w:rFonts w:hint="eastAsia" w:ascii="仿宋_GB2312" w:hAnsi="仿宋_GB2312" w:eastAsia="仿宋_GB2312" w:cs="仿宋_GB2312"/>
          <w:b w:val="0"/>
          <w:bCs w:val="0"/>
          <w:color w:val="auto"/>
          <w:sz w:val="32"/>
          <w:szCs w:val="32"/>
          <w:shd w:val="clear" w:color="auto" w:fill="auto"/>
          <w:lang w:val="en-US" w:eastAsia="zh-CN"/>
        </w:rPr>
        <w:t>“互联网+家庭医生”,开展家庭医生互联网诊疗服务，为签约居民提供在线咨询、签约服务申请以及慢性病复诊和在线处方等互联网诊疗服务，努力实现“病人少跑腿、数据多跑路”。坚持传统服务与智能创新相结合，有效解决老年人便利就医“数字鸿沟”问题。〔市卫生健康委、医保局、工信局、大数据局、发改委、民政局按职责分工负责，区县（市）人民政府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105" w:rightChars="-5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楷体_GB2312" w:hAnsi="楷体_GB2312" w:eastAsia="楷体_GB2312" w:cs="楷体_GB2312"/>
          <w:b w:val="0"/>
          <w:bCs w:val="0"/>
          <w:color w:val="000000"/>
          <w:sz w:val="32"/>
          <w:szCs w:val="32"/>
          <w:shd w:val="clear" w:color="auto" w:fill="auto"/>
          <w:lang w:val="en-US" w:eastAsia="zh-CN"/>
        </w:rPr>
        <w:t>（五）提升老年医疗卫生服务能力。</w:t>
      </w:r>
      <w:r>
        <w:rPr>
          <w:rFonts w:hint="eastAsia" w:ascii="仿宋_GB2312" w:hAnsi="仿宋_GB2312" w:eastAsia="仿宋_GB2312" w:cs="仿宋_GB2312"/>
          <w:b w:val="0"/>
          <w:bCs w:val="0"/>
          <w:color w:val="auto"/>
          <w:sz w:val="32"/>
          <w:szCs w:val="32"/>
          <w:shd w:val="clear" w:color="auto" w:fill="auto"/>
          <w:lang w:val="en-US" w:eastAsia="zh-CN"/>
        </w:rPr>
        <w:t>在医疗卫生服务规划中不断完善老年医疗卫生服务内容。完善老年医疗资源布局，建立健全以基层医疗卫生机构为基础，老年医院和综合性医院老年医学科为核心，相关教学科研机构为支撑的老年医疗服务网络。各区县（市）卫生健康部门要重点培育老年医学、康复、护理、安宁疗护等相关学科（专科），对符合条件的纳入重点学科建设并按规定给予支持。加强基层医疗卫生机构康复、护理科室和病区（床位）建设，到2022年，基层医疗卫生机构护理床位占比达到30%；全面落实老年人医疗服务优待政策，医疗机构普遍建立老年人挂号、就医绿色通道，优化老年人就医流程，为老年人看病就医提供便利服务；开展老年友善医疗卫生机构创建活动，推动医疗卫生机构开展适老化改造，开展老年友善服务，80%以上的综合性医院、康复医院、护理院和基层医疗卫生机构成为老年友善医疗卫生机构。〔市卫生健康委、发改委、财政局、民政局按职责分工负责，区县（市）人民政府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105" w:rightChars="-5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楷体_GB2312" w:hAnsi="楷体_GB2312" w:eastAsia="楷体_GB2312" w:cs="楷体_GB2312"/>
          <w:b w:val="0"/>
          <w:bCs w:val="0"/>
          <w:color w:val="000000"/>
          <w:sz w:val="32"/>
          <w:szCs w:val="32"/>
          <w:shd w:val="clear" w:color="auto" w:fill="auto"/>
          <w:lang w:val="en-US" w:eastAsia="zh-CN"/>
        </w:rPr>
        <w:t>（六）加强安宁疗护服务。</w:t>
      </w:r>
      <w:r>
        <w:rPr>
          <w:rFonts w:hint="eastAsia" w:ascii="仿宋_GB2312" w:hAnsi="仿宋_GB2312" w:eastAsia="仿宋_GB2312" w:cs="仿宋_GB2312"/>
          <w:b w:val="0"/>
          <w:bCs w:val="0"/>
          <w:color w:val="auto"/>
          <w:sz w:val="32"/>
          <w:szCs w:val="32"/>
          <w:shd w:val="clear" w:color="auto" w:fill="auto"/>
          <w:lang w:val="en-US" w:eastAsia="zh-CN"/>
        </w:rPr>
        <w:t>以市级安宁疗护技术指导中心为引领、县级安宁疗护中心或病区为支撑、社区卫生服务中心（乡镇卫生院）和护理院、医养结合机构等开展安宁疗护服务的机构为主体，构建安宁疗护服务网络，推动建立机构、社区、居家相衔接的安宁疗护服务体系。持续开展社区安宁疗护中心及床位建设，建设补贴标准按照民政局现行养老床位建设的最高标准执行。探索将住院治疗的临终期患者，从辞世时间前推3-6个月的住院过程设定为安宁疗护住院期，平均住院日限制适当放宽为30天-60天，按照350元-500元/日的标准，进行按照床日付费。到2025年，各区县（市）至少有1家医院和20%以上基层医疗卫生机构开展安宁疗护服务。发挥上级医疗机构技术优势，建立安宁疗护服务联动机制，完善转诊和会诊服务。制定实施安宁疗护服务规范和质量评价标准，完善开展安宁疗护服务的相关支持政策。〔市卫生健康委、医保局、财政局按职责分工负责，区县（市）人民政府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105" w:rightChars="-50" w:firstLine="640" w:firstLineChars="200"/>
        <w:jc w:val="both"/>
        <w:textAlignment w:val="auto"/>
        <w:outlineLvl w:val="9"/>
        <w:rPr>
          <w:rFonts w:hint="default" w:ascii="黑体" w:hAnsi="黑体" w:eastAsia="黑体" w:cs="黑体"/>
          <w:b w:val="0"/>
          <w:bCs w:val="0"/>
          <w:color w:val="000000"/>
          <w:sz w:val="32"/>
          <w:szCs w:val="32"/>
          <w:shd w:val="clear" w:color="auto" w:fill="auto"/>
          <w:lang w:val="en-US" w:eastAsia="zh-CN"/>
        </w:rPr>
      </w:pPr>
      <w:r>
        <w:rPr>
          <w:rFonts w:hint="eastAsia" w:ascii="黑体" w:hAnsi="黑体" w:eastAsia="黑体" w:cs="黑体"/>
          <w:b w:val="0"/>
          <w:bCs w:val="0"/>
          <w:color w:val="000000"/>
          <w:sz w:val="32"/>
          <w:szCs w:val="32"/>
          <w:shd w:val="clear" w:color="auto" w:fill="auto"/>
          <w:lang w:val="en-US" w:eastAsia="zh-CN"/>
        </w:rPr>
        <w:t xml:space="preserve"> 三、保障措施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楷体_GB2312" w:hAnsi="楷体_GB2312" w:eastAsia="楷体_GB2312" w:cs="楷体_GB2312"/>
          <w:b w:val="0"/>
          <w:bCs w:val="0"/>
          <w:color w:val="000000"/>
          <w:sz w:val="32"/>
          <w:szCs w:val="32"/>
          <w:shd w:val="clear" w:color="auto" w:fill="auto"/>
          <w:lang w:val="en-US" w:eastAsia="zh-CN"/>
        </w:rPr>
        <w:t>（一）重视人才队伍建设。</w:t>
      </w:r>
      <w:r>
        <w:rPr>
          <w:rFonts w:hint="eastAsia" w:ascii="仿宋_GB2312" w:hAnsi="仿宋_GB2312" w:eastAsia="仿宋_GB2312" w:cs="仿宋_GB2312"/>
          <w:b w:val="0"/>
          <w:bCs w:val="0"/>
          <w:color w:val="auto"/>
          <w:sz w:val="32"/>
          <w:szCs w:val="32"/>
          <w:shd w:val="clear" w:color="auto" w:fill="auto"/>
          <w:lang w:val="en-US" w:eastAsia="zh-CN"/>
        </w:rPr>
        <w:t>加快推进医养结合队伍建设。加强老年医学、康复护理、健康管理、老年医疗护理员、老年照护师等专业人才培养，并享受与养老服务人才同等的补贴政策。医养结合机构、基层医疗卫生机构和设有老年医学科、康复中心等科室的医疗机构，符合条件的可申请设立医养结合培训基地，结合实际开展以老年患者为主要服务对象的医疗护理员师资培训。培训大纲和内容参照国家卫健委等部门《关于加强医疗护理员培训和规范管理工作的通知》（国卫医发〔2019〕49号）。参加职业技能培训和职业技能鉴定的人员符合条件的，按规定给予补贴和职业技能等级认定。实施医师执业地点区域注册制度，支持医务人员到医养结合机构执业。鼓励在医养结合机构从事护理工作的护理人员持双证（护士执业证书和护理员证），符合条件的，民政部门给予入职奖补和持证奖励。〔市卫生健康委、人社局、民政局、财政局按职责分工负责，区县（市）人民政府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楷体_GB2312" w:hAnsi="楷体_GB2312" w:eastAsia="楷体_GB2312" w:cs="楷体_GB2312"/>
          <w:b w:val="0"/>
          <w:bCs w:val="0"/>
          <w:color w:val="000000"/>
          <w:sz w:val="32"/>
          <w:szCs w:val="32"/>
          <w:shd w:val="clear" w:color="auto" w:fill="auto"/>
          <w:lang w:val="en-US" w:eastAsia="zh-CN"/>
        </w:rPr>
        <w:t>（二）加大激励措施。</w:t>
      </w:r>
      <w:r>
        <w:rPr>
          <w:rFonts w:hint="eastAsia" w:ascii="仿宋_GB2312" w:hAnsi="仿宋_GB2312" w:eastAsia="仿宋_GB2312" w:cs="仿宋_GB2312"/>
          <w:b w:val="0"/>
          <w:bCs w:val="0"/>
          <w:color w:val="auto"/>
          <w:sz w:val="32"/>
          <w:szCs w:val="32"/>
          <w:shd w:val="clear" w:color="auto" w:fill="auto"/>
          <w:lang w:val="en-US" w:eastAsia="zh-CN"/>
        </w:rPr>
        <w:t>加大政府购买服务力度，支持符合条件的社会办医养结合机构承接当地公共卫生、基本医疗和基本养老等服务。开展政府购买养老服务时，将符合相关规定的居家老年人医疗保健、医疗护理和康复等密切相关内容列入各级政府购买服务名录。对市级安宁疗护技术指导单位，市财政按社区卫生服务中心医联体标准给予补助。区县（市）应当对为居家老年人提供签约服务、医养结合服务、安宁疗护等符合条件的医疗卫生机构和个人给予相应奖补。〔市财政局、民政局、卫生健康委按职责分工负责，区县（市）人民政府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楷体_GB2312" w:hAnsi="楷体_GB2312" w:eastAsia="楷体_GB2312" w:cs="楷体_GB2312"/>
          <w:b w:val="0"/>
          <w:bCs w:val="0"/>
          <w:color w:val="000000"/>
          <w:sz w:val="32"/>
          <w:szCs w:val="32"/>
          <w:shd w:val="clear" w:color="auto" w:fill="auto"/>
          <w:lang w:val="en-US" w:eastAsia="zh-CN"/>
        </w:rPr>
        <w:t>（三）完善收入分配和价格政策。</w:t>
      </w:r>
      <w:r>
        <w:rPr>
          <w:rFonts w:hint="eastAsia" w:ascii="仿宋_GB2312" w:hAnsi="仿宋_GB2312" w:eastAsia="仿宋_GB2312" w:cs="仿宋_GB2312"/>
          <w:b w:val="0"/>
          <w:bCs w:val="0"/>
          <w:color w:val="auto"/>
          <w:sz w:val="32"/>
          <w:szCs w:val="32"/>
          <w:shd w:val="clear" w:color="auto" w:fill="auto"/>
          <w:lang w:val="en-US" w:eastAsia="zh-CN"/>
        </w:rPr>
        <w:t>医疗机构设置的老年医学科、康复科、安宁疗护等床位不列入平均住院日统计指标。公立医疗机构开展养老服务的收费标准原则上以实际服务成本为基础，综合市场供求状况、群众承受能力等因素核定。支持医务人员从事医养结合服务，公立医疗机构与养老机构开展签约服务、为居家老年人建立家庭病床和开展上门服务的收入，扣除成本并按规定提取各项基金后主要用于人员奖励，不纳入绩效工资总额，单位内部分配时，应向从事一线工作的医务人员倾斜。〔市卫生健康委、人社局、医保局按职责分工负责，区县（市）人民政府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楷体_GB2312" w:hAnsi="楷体_GB2312" w:eastAsia="楷体_GB2312" w:cs="楷体_GB2312"/>
          <w:b w:val="0"/>
          <w:bCs w:val="0"/>
          <w:color w:val="000000"/>
          <w:sz w:val="32"/>
          <w:szCs w:val="32"/>
          <w:shd w:val="clear" w:color="auto" w:fill="auto"/>
          <w:lang w:val="en-US" w:eastAsia="zh-CN"/>
        </w:rPr>
        <w:t>（四）督促医疗机构按照规定参加医疗责任保险。</w:t>
      </w:r>
      <w:r>
        <w:rPr>
          <w:rFonts w:hint="eastAsia" w:ascii="仿宋_GB2312" w:hAnsi="仿宋_GB2312" w:eastAsia="仿宋_GB2312" w:cs="仿宋_GB2312"/>
          <w:b w:val="0"/>
          <w:bCs w:val="0"/>
          <w:color w:val="auto"/>
          <w:sz w:val="32"/>
          <w:szCs w:val="32"/>
          <w:shd w:val="clear" w:color="auto" w:fill="auto"/>
          <w:lang w:val="en-US" w:eastAsia="zh-CN"/>
        </w:rPr>
        <w:t>区</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部门应当积极推动公立医疗机构按照规定参加医疗责任保险，鼓励非公立医疗机构参加医疗责任保险。鼓励医务人员参加执业责任保险。鼓励患者参加医疗意外保险。医疗机构参加医疗责任保险，保险费用按照规定计入医疗成本，医疗机构不得因参加医疗责任保险提高现有医疗收费标准或者变相增加患者负担。医疗纠纷发生后，医疗机构应当依照《中华人民共和国保险法》相关规定以及保险合同约定，及时向医疗责任保险承保机构报案，并如实提供有关情况。</w:t>
      </w:r>
      <w:r>
        <w:rPr>
          <w:rFonts w:hint="eastAsia" w:ascii="仿宋_GB2312" w:hAnsi="仿宋_GB2312" w:eastAsia="仿宋_GB2312" w:cs="仿宋_GB2312"/>
          <w:b w:val="0"/>
          <w:bCs w:val="0"/>
          <w:color w:val="auto"/>
          <w:sz w:val="32"/>
          <w:szCs w:val="32"/>
          <w:shd w:val="clear" w:color="auto" w:fill="auto"/>
          <w:lang w:val="en-US" w:eastAsia="zh-CN"/>
        </w:rPr>
        <w:t>严格执行《河南省医疗纠纷预防与处理办法》（省人民政府令 第195号）。协调保险监督管理机构依法加强对保险机构开展医疗责任保险和医疗</w:t>
      </w:r>
      <w:r>
        <w:rPr>
          <w:rFonts w:hint="eastAsia" w:ascii="仿宋_GB2312" w:hAnsi="仿宋_GB2312" w:eastAsia="仿宋_GB2312" w:cs="仿宋_GB2312"/>
          <w:sz w:val="32"/>
          <w:szCs w:val="32"/>
        </w:rPr>
        <w:t>意外保险等业务的监督管理。</w:t>
      </w:r>
      <w:r>
        <w:rPr>
          <w:rFonts w:hint="eastAsia" w:ascii="仿宋_GB2312" w:hAnsi="仿宋_GB2312" w:eastAsia="仿宋_GB2312" w:cs="仿宋_GB2312"/>
          <w:b w:val="0"/>
          <w:bCs w:val="0"/>
          <w:color w:val="auto"/>
          <w:sz w:val="32"/>
          <w:szCs w:val="32"/>
          <w:shd w:val="clear" w:color="auto" w:fill="auto"/>
          <w:lang w:val="en-US" w:eastAsia="zh-CN"/>
        </w:rPr>
        <w:t>〔市金融工作局、卫生健康委、医保局按职责分工负责，区县（市）人民政府负责〕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楷体_GB2312" w:hAnsi="楷体_GB2312" w:eastAsia="楷体_GB2312" w:cs="楷体_GB2312"/>
          <w:b w:val="0"/>
          <w:bCs w:val="0"/>
          <w:color w:val="000000"/>
          <w:sz w:val="32"/>
          <w:szCs w:val="32"/>
          <w:shd w:val="clear" w:color="auto" w:fill="auto"/>
          <w:lang w:val="en-US" w:eastAsia="zh-CN"/>
        </w:rPr>
        <w:t>（五）加强督导考核。</w:t>
      </w:r>
      <w:r>
        <w:rPr>
          <w:rFonts w:hint="eastAsia" w:ascii="仿宋_GB2312" w:hAnsi="仿宋_GB2312" w:eastAsia="仿宋_GB2312" w:cs="仿宋_GB2312"/>
          <w:b w:val="0"/>
          <w:bCs w:val="0"/>
          <w:color w:val="auto"/>
          <w:sz w:val="32"/>
          <w:szCs w:val="32"/>
          <w:shd w:val="clear" w:color="auto" w:fill="auto"/>
          <w:lang w:val="en-US" w:eastAsia="zh-CN"/>
        </w:rPr>
        <w:t>各级各有关部门要依据《郑州市</w:t>
      </w:r>
      <w:r>
        <w:rPr>
          <w:rFonts w:hint="eastAsia" w:ascii="仿宋_GB2312" w:hAnsi="仿宋_GB2312" w:eastAsia="仿宋_GB2312" w:cs="仿宋_GB2312"/>
          <w:b w:val="0"/>
          <w:bCs w:val="0"/>
          <w:color w:val="000000"/>
          <w:sz w:val="32"/>
          <w:szCs w:val="32"/>
          <w:shd w:val="clear" w:color="auto" w:fill="auto"/>
          <w:lang w:val="en-US" w:eastAsia="zh-CN"/>
        </w:rPr>
        <w:t>加强老年人居家医疗服务实施方案</w:t>
      </w:r>
      <w:r>
        <w:rPr>
          <w:rFonts w:hint="eastAsia" w:ascii="仿宋_GB2312" w:hAnsi="仿宋_GB2312" w:eastAsia="仿宋_GB2312" w:cs="仿宋_GB2312"/>
          <w:b w:val="0"/>
          <w:bCs w:val="0"/>
          <w:color w:val="auto"/>
          <w:sz w:val="32"/>
          <w:szCs w:val="32"/>
          <w:shd w:val="clear" w:color="auto" w:fill="auto"/>
          <w:lang w:val="en-US" w:eastAsia="zh-CN"/>
        </w:rPr>
        <w:t>》的要求，加强对医养结合工作的日常监督管理，并纳入年度重点工作进行督查评估。市卫生健康、民政部门要会同相关部门加强对医养结合工作的督查，定期通报各地进展情况，确保各项政策措施落到实处，促进医养结合健康发展。〔各有关部门按职责分工负责，区县（市）人民政府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本实施方案自2021年9月  日起施行。</w:t>
      </w:r>
    </w:p>
    <w:p>
      <w:pPr>
        <w:keepNext w:val="0"/>
        <w:keepLines w:val="0"/>
        <w:pageBreakBefore w:val="0"/>
        <w:kinsoku/>
        <w:wordWrap/>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附件：社会办医疗机构参与家庭医生签约服务的工作指引</w:t>
      </w:r>
    </w:p>
    <w:p>
      <w:pPr>
        <w:keepNext w:val="0"/>
        <w:keepLines w:val="0"/>
        <w:pageBreakBefore w:val="0"/>
        <w:kinsoku/>
        <w:wordWrap/>
        <w:overflowPunct/>
        <w:topLinePunct w:val="0"/>
        <w:autoSpaceDE/>
        <w:autoSpaceDN/>
        <w:bidi w:val="0"/>
        <w:spacing w:line="560" w:lineRule="exact"/>
        <w:textAlignment w:val="auto"/>
        <w:rPr>
          <w:rFonts w:ascii="黑体" w:hAnsi="黑体" w:eastAsia="黑体"/>
          <w:sz w:val="32"/>
          <w:szCs w:val="32"/>
        </w:rPr>
      </w:pPr>
      <w:r>
        <w:rPr>
          <w:rFonts w:hint="eastAsia" w:ascii="仿宋" w:hAnsi="仿宋" w:eastAsia="仿宋" w:cs="仿宋"/>
          <w:b w:val="0"/>
          <w:bCs w:val="0"/>
          <w:color w:val="000000"/>
          <w:sz w:val="32"/>
          <w:szCs w:val="32"/>
          <w:shd w:val="clear" w:color="auto" w:fill="auto"/>
          <w:lang w:val="en-US" w:eastAsia="zh-CN"/>
        </w:rPr>
        <w:br w:type="page"/>
      </w: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件</w:t>
      </w:r>
    </w:p>
    <w:p>
      <w:pPr>
        <w:spacing w:line="560" w:lineRule="exact"/>
        <w:jc w:val="center"/>
        <w:rPr>
          <w:rFonts w:ascii="Times New Roman" w:hAnsi="Times New Roman" w:eastAsia="黑体"/>
          <w:b/>
          <w:sz w:val="32"/>
          <w:szCs w:val="32"/>
        </w:rPr>
      </w:pPr>
    </w:p>
    <w:p>
      <w:pPr>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社会办医疗机构参与家庭医生签约服务</w:t>
      </w: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的工作指引</w:t>
      </w:r>
    </w:p>
    <w:p>
      <w:pPr>
        <w:spacing w:line="560" w:lineRule="exact"/>
        <w:ind w:firstLine="640" w:firstLineChars="200"/>
        <w:rPr>
          <w:rFonts w:ascii="Times New Roman" w:hAnsi="Times New Roman" w:eastAsia="仿宋_GB2312"/>
          <w:sz w:val="32"/>
          <w:szCs w:val="32"/>
          <w:shd w:val="clear" w:color="auto" w:fill="FFFFFF"/>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根据《国务院办公厅关于支持</w:t>
      </w:r>
      <w:r>
        <w:rPr>
          <w:rFonts w:ascii="Times New Roman" w:hAnsi="Times New Roman" w:eastAsia="仿宋_GB2312"/>
          <w:sz w:val="32"/>
          <w:szCs w:val="32"/>
        </w:rPr>
        <w:t>社会力量提供多层次多样化医疗服务的意见》（国办发〔2017〕44号）</w:t>
      </w:r>
      <w:r>
        <w:rPr>
          <w:rFonts w:ascii="Times New Roman" w:hAnsi="Times New Roman" w:eastAsia="仿宋_GB2312"/>
          <w:sz w:val="32"/>
          <w:szCs w:val="32"/>
          <w:shd w:val="clear" w:color="auto" w:fill="FFFFFF"/>
        </w:rPr>
        <w:t>文件精神，鼓励符合条件的社会办医疗机构</w:t>
      </w:r>
      <w:r>
        <w:rPr>
          <w:rFonts w:ascii="Times New Roman" w:hAnsi="Times New Roman" w:eastAsia="仿宋_GB2312"/>
          <w:sz w:val="32"/>
          <w:szCs w:val="32"/>
        </w:rPr>
        <w:t>参与家庭医生签约工作。</w:t>
      </w:r>
    </w:p>
    <w:p>
      <w:pPr>
        <w:spacing w:line="560" w:lineRule="exact"/>
        <w:ind w:firstLine="640" w:firstLineChars="200"/>
        <w:rPr>
          <w:rFonts w:ascii="黑体" w:hAnsi="黑体" w:eastAsia="黑体"/>
          <w:sz w:val="32"/>
          <w:szCs w:val="32"/>
        </w:rPr>
      </w:pPr>
      <w:r>
        <w:rPr>
          <w:rFonts w:ascii="黑体" w:hAnsi="黑体" w:eastAsia="黑体"/>
          <w:sz w:val="32"/>
          <w:szCs w:val="32"/>
        </w:rPr>
        <w:t>一、有关条件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根据国家卫生健康委</w:t>
      </w:r>
      <w:r>
        <w:rPr>
          <w:rFonts w:hint="eastAsia" w:eastAsia="仿宋_GB2312"/>
          <w:sz w:val="32"/>
          <w:szCs w:val="32"/>
          <w:lang w:eastAsia="zh-CN"/>
        </w:rPr>
        <w:t>、</w:t>
      </w:r>
      <w:r>
        <w:rPr>
          <w:rFonts w:ascii="Times New Roman" w:hAnsi="Times New Roman" w:eastAsia="仿宋_GB2312"/>
          <w:sz w:val="32"/>
          <w:szCs w:val="32"/>
        </w:rPr>
        <w:t>国家中医药管理局发布的《关于规范家庭医生签约服务管理的指导意见》（</w:t>
      </w:r>
      <w:r>
        <w:rPr>
          <w:rFonts w:ascii="Times New Roman" w:hAnsi="Times New Roman" w:eastAsia="仿宋_GB2312"/>
          <w:bCs/>
          <w:sz w:val="32"/>
          <w:szCs w:val="32"/>
        </w:rPr>
        <w:t>国卫基层发〔2018〕35号）</w:t>
      </w:r>
      <w:r>
        <w:rPr>
          <w:rFonts w:hint="eastAsia" w:eastAsia="仿宋_GB2312"/>
          <w:bCs/>
          <w:sz w:val="32"/>
          <w:szCs w:val="32"/>
          <w:lang w:val="en-US" w:eastAsia="zh-CN"/>
        </w:rPr>
        <w:t>和</w:t>
      </w:r>
      <w:r>
        <w:rPr>
          <w:rFonts w:hint="eastAsia" w:eastAsia="仿宋_GB2312"/>
          <w:sz w:val="32"/>
          <w:szCs w:val="32"/>
          <w:lang w:val="en-US" w:eastAsia="zh-CN"/>
        </w:rPr>
        <w:t>河南省</w:t>
      </w:r>
      <w:r>
        <w:rPr>
          <w:rFonts w:ascii="Times New Roman" w:hAnsi="Times New Roman" w:eastAsia="仿宋_GB2312"/>
          <w:sz w:val="32"/>
          <w:szCs w:val="32"/>
        </w:rPr>
        <w:t>卫生健康委《关于</w:t>
      </w:r>
      <w:r>
        <w:rPr>
          <w:rFonts w:hint="eastAsia" w:eastAsia="仿宋_GB2312"/>
          <w:sz w:val="32"/>
          <w:szCs w:val="32"/>
          <w:lang w:val="en-US" w:eastAsia="zh-CN"/>
        </w:rPr>
        <w:t>做好2019年</w:t>
      </w:r>
      <w:r>
        <w:rPr>
          <w:rFonts w:ascii="Times New Roman" w:hAnsi="Times New Roman" w:eastAsia="仿宋_GB2312"/>
          <w:sz w:val="32"/>
          <w:szCs w:val="32"/>
        </w:rPr>
        <w:t>家庭医生签约服务</w:t>
      </w:r>
      <w:r>
        <w:rPr>
          <w:rFonts w:hint="eastAsia" w:eastAsia="仿宋_GB2312"/>
          <w:sz w:val="32"/>
          <w:szCs w:val="32"/>
          <w:lang w:val="en-US" w:eastAsia="zh-CN"/>
        </w:rPr>
        <w:t>工作</w:t>
      </w:r>
      <w:r>
        <w:rPr>
          <w:rFonts w:ascii="Times New Roman" w:hAnsi="Times New Roman" w:eastAsia="仿宋_GB2312"/>
          <w:sz w:val="32"/>
          <w:szCs w:val="32"/>
        </w:rPr>
        <w:t>的</w:t>
      </w:r>
      <w:r>
        <w:rPr>
          <w:rFonts w:hint="eastAsia" w:eastAsia="仿宋_GB2312"/>
          <w:sz w:val="32"/>
          <w:szCs w:val="32"/>
          <w:lang w:val="en-US" w:eastAsia="zh-CN"/>
        </w:rPr>
        <w:t>通知</w:t>
      </w:r>
      <w:r>
        <w:rPr>
          <w:rFonts w:ascii="Times New Roman" w:hAnsi="Times New Roman" w:eastAsia="仿宋_GB2312"/>
          <w:sz w:val="32"/>
          <w:szCs w:val="32"/>
        </w:rPr>
        <w:t>》（</w:t>
      </w:r>
      <w:r>
        <w:rPr>
          <w:rFonts w:hint="eastAsia" w:eastAsia="仿宋_GB2312"/>
          <w:bCs/>
          <w:sz w:val="32"/>
          <w:szCs w:val="32"/>
          <w:lang w:val="en-US" w:eastAsia="zh-CN"/>
        </w:rPr>
        <w:t>豫</w:t>
      </w:r>
      <w:r>
        <w:rPr>
          <w:rFonts w:ascii="Times New Roman" w:hAnsi="Times New Roman" w:eastAsia="仿宋_GB2312"/>
          <w:bCs/>
          <w:sz w:val="32"/>
          <w:szCs w:val="32"/>
        </w:rPr>
        <w:t>卫基层〔201</w:t>
      </w:r>
      <w:r>
        <w:rPr>
          <w:rFonts w:hint="eastAsia" w:eastAsia="仿宋_GB2312"/>
          <w:bCs/>
          <w:sz w:val="32"/>
          <w:szCs w:val="32"/>
          <w:lang w:val="en-US" w:eastAsia="zh-CN"/>
        </w:rPr>
        <w:t>9</w:t>
      </w:r>
      <w:r>
        <w:rPr>
          <w:rFonts w:ascii="Times New Roman" w:hAnsi="Times New Roman" w:eastAsia="仿宋_GB2312"/>
          <w:bCs/>
          <w:sz w:val="32"/>
          <w:szCs w:val="32"/>
        </w:rPr>
        <w:t>〕</w:t>
      </w:r>
      <w:r>
        <w:rPr>
          <w:rFonts w:hint="eastAsia" w:eastAsia="仿宋_GB2312"/>
          <w:bCs/>
          <w:sz w:val="32"/>
          <w:szCs w:val="32"/>
          <w:lang w:val="en-US" w:eastAsia="zh-CN"/>
        </w:rPr>
        <w:t>8</w:t>
      </w:r>
      <w:r>
        <w:rPr>
          <w:rFonts w:ascii="Times New Roman" w:hAnsi="Times New Roman" w:eastAsia="仿宋_GB2312"/>
          <w:bCs/>
          <w:sz w:val="32"/>
          <w:szCs w:val="32"/>
        </w:rPr>
        <w:t>号）文件精神，结合我市</w:t>
      </w:r>
      <w:r>
        <w:rPr>
          <w:rFonts w:ascii="Times New Roman" w:hAnsi="Times New Roman" w:eastAsia="仿宋_GB2312"/>
          <w:sz w:val="32"/>
          <w:szCs w:val="32"/>
        </w:rPr>
        <w:t>实际，社会办医疗机构参与家庭医生签约工作应符合下列条件：</w:t>
      </w:r>
    </w:p>
    <w:p>
      <w:pPr>
        <w:tabs>
          <w:tab w:val="left" w:pos="312"/>
        </w:tabs>
        <w:spacing w:line="560" w:lineRule="exact"/>
        <w:ind w:firstLine="640" w:firstLineChars="200"/>
        <w:rPr>
          <w:rFonts w:ascii="Times New Roman" w:hAnsi="Times New Roman" w:eastAsia="仿宋_GB2312"/>
          <w:sz w:val="32"/>
          <w:szCs w:val="32"/>
        </w:rPr>
      </w:pPr>
      <w:r>
        <w:rPr>
          <w:rFonts w:hint="eastAsia" w:ascii="方正楷体_GBK" w:hAnsi="方正楷体_GBK" w:eastAsia="方正楷体_GBK" w:cs="方正楷体_GBK"/>
          <w:b w:val="0"/>
          <w:bCs/>
          <w:sz w:val="32"/>
          <w:szCs w:val="32"/>
        </w:rPr>
        <w:t>1. 机构资质：</w:t>
      </w:r>
      <w:r>
        <w:rPr>
          <w:rFonts w:ascii="Times New Roman" w:hAnsi="Times New Roman" w:eastAsia="仿宋_GB2312"/>
          <w:bCs/>
          <w:sz w:val="32"/>
          <w:szCs w:val="32"/>
        </w:rPr>
        <w:t>（1）社会办一级医疗机构。</w:t>
      </w:r>
      <w:r>
        <w:rPr>
          <w:rFonts w:ascii="Times New Roman" w:hAnsi="Times New Roman" w:eastAsia="仿宋_GB2312"/>
          <w:sz w:val="32"/>
          <w:szCs w:val="32"/>
        </w:rPr>
        <w:t>应持有有效的医疗机构执业许可证，具有全科医疗诊疗科目，具备与签约服务相适应的人员及设施设备。近三年内未发生重大违法事件或造成社会不良影响的，近三年内未发生定性为主要责任以上的医疗事故或发生重大医院感染事件的。（2）是医保定点单位，近三年内医保考核应为合格及以上，无医保违规被暂停、责令整改、通报批评等情况。</w:t>
      </w:r>
    </w:p>
    <w:p>
      <w:pPr>
        <w:spacing w:line="560" w:lineRule="exact"/>
        <w:ind w:firstLine="645"/>
        <w:jc w:val="left"/>
        <w:rPr>
          <w:rFonts w:ascii="Times New Roman" w:hAnsi="Times New Roman" w:eastAsia="仿宋_GB2312"/>
          <w:sz w:val="32"/>
          <w:szCs w:val="32"/>
        </w:rPr>
      </w:pPr>
      <w:r>
        <w:rPr>
          <w:rFonts w:hint="eastAsia" w:ascii="方正楷体_GBK" w:hAnsi="方正楷体_GBK" w:eastAsia="方正楷体_GBK" w:cs="方正楷体_GBK"/>
          <w:b w:val="0"/>
          <w:bCs/>
          <w:sz w:val="32"/>
          <w:szCs w:val="32"/>
        </w:rPr>
        <w:t>2. 人员资质：</w:t>
      </w:r>
      <w:r>
        <w:rPr>
          <w:rFonts w:ascii="Times New Roman" w:hAnsi="Times New Roman" w:eastAsia="仿宋_GB2312"/>
          <w:sz w:val="32"/>
          <w:szCs w:val="32"/>
        </w:rPr>
        <w:t>机构内至少具备全科医学执业医师1名，且建立包括全科医生、护士、公共卫生专业执业医师以及管理人员在内的专业协作团队。</w:t>
      </w:r>
    </w:p>
    <w:p>
      <w:pPr>
        <w:spacing w:line="560" w:lineRule="exact"/>
        <w:ind w:firstLine="645"/>
        <w:jc w:val="left"/>
        <w:rPr>
          <w:rFonts w:ascii="Times New Roman" w:hAnsi="Times New Roman" w:eastAsia="仿宋_GB2312"/>
          <w:sz w:val="32"/>
          <w:szCs w:val="32"/>
        </w:rPr>
      </w:pPr>
      <w:r>
        <w:rPr>
          <w:rFonts w:hint="eastAsia" w:ascii="方正楷体_GBK" w:hAnsi="方正楷体_GBK" w:eastAsia="方正楷体_GBK" w:cs="方正楷体_GBK"/>
          <w:b w:val="0"/>
          <w:bCs/>
          <w:sz w:val="32"/>
          <w:szCs w:val="32"/>
        </w:rPr>
        <w:t>3. 服务承诺：</w:t>
      </w:r>
      <w:r>
        <w:rPr>
          <w:rFonts w:ascii="Times New Roman" w:hAnsi="Times New Roman" w:eastAsia="仿宋_GB2312"/>
          <w:sz w:val="32"/>
          <w:szCs w:val="32"/>
        </w:rPr>
        <w:t>机构承担所辖范围内家庭医生签约服务工作和基本公共卫生服务项目工作，其工作质量纳入属地化管理，接受签约服务质量考核及基本公共卫生服务项目绩效评价。</w:t>
      </w:r>
    </w:p>
    <w:p>
      <w:pPr>
        <w:spacing w:line="560" w:lineRule="exact"/>
        <w:ind w:firstLine="640" w:firstLineChars="200"/>
        <w:rPr>
          <w:rFonts w:ascii="Times New Roman" w:hAnsi="Times New Roman" w:eastAsia="仿宋_GB2312"/>
          <w:sz w:val="32"/>
          <w:szCs w:val="32"/>
        </w:rPr>
      </w:pPr>
      <w:r>
        <w:rPr>
          <w:rFonts w:hint="eastAsia" w:ascii="方正楷体_GBK" w:hAnsi="方正楷体_GBK" w:eastAsia="方正楷体_GBK" w:cs="方正楷体_GBK"/>
          <w:b w:val="0"/>
          <w:bCs/>
          <w:sz w:val="32"/>
          <w:szCs w:val="32"/>
        </w:rPr>
        <w:t>4. 信息化能力：</w:t>
      </w:r>
      <w:r>
        <w:rPr>
          <w:rFonts w:ascii="Times New Roman" w:hAnsi="Times New Roman" w:eastAsia="仿宋_GB2312"/>
          <w:sz w:val="32"/>
          <w:szCs w:val="32"/>
        </w:rPr>
        <w:t>机构应使用</w:t>
      </w:r>
      <w:r>
        <w:rPr>
          <w:rFonts w:hint="eastAsia" w:ascii="Times New Roman" w:hAnsi="Times New Roman" w:eastAsia="仿宋_GB2312"/>
          <w:sz w:val="32"/>
          <w:szCs w:val="32"/>
          <w:lang w:val="en-US" w:eastAsia="zh-CN"/>
        </w:rPr>
        <w:t>郑</w:t>
      </w:r>
      <w:r>
        <w:rPr>
          <w:rFonts w:ascii="Times New Roman" w:hAnsi="Times New Roman" w:eastAsia="仿宋_GB2312"/>
          <w:sz w:val="32"/>
          <w:szCs w:val="32"/>
        </w:rPr>
        <w:t>州市社区卫生服务系统和属地签约转诊系统，具备</w:t>
      </w:r>
      <w:r>
        <w:rPr>
          <w:rFonts w:hint="eastAsia" w:eastAsia="仿宋_GB2312"/>
          <w:sz w:val="32"/>
          <w:szCs w:val="32"/>
          <w:lang w:val="en-US" w:eastAsia="zh-CN"/>
        </w:rPr>
        <w:t>相关</w:t>
      </w:r>
      <w:r>
        <w:rPr>
          <w:rFonts w:ascii="Times New Roman" w:hAnsi="Times New Roman" w:eastAsia="仿宋_GB2312"/>
          <w:sz w:val="32"/>
          <w:szCs w:val="32"/>
        </w:rPr>
        <w:t>信息系统。</w:t>
      </w:r>
    </w:p>
    <w:p>
      <w:pPr>
        <w:spacing w:line="560" w:lineRule="exact"/>
        <w:ind w:firstLine="640" w:firstLineChars="200"/>
        <w:rPr>
          <w:rFonts w:ascii="Times New Roman" w:hAnsi="Times New Roman" w:eastAsia="仿宋_GB2312"/>
          <w:sz w:val="32"/>
          <w:szCs w:val="32"/>
        </w:rPr>
      </w:pPr>
      <w:r>
        <w:rPr>
          <w:rFonts w:hint="eastAsia" w:ascii="方正楷体_GBK" w:hAnsi="方正楷体_GBK" w:eastAsia="方正楷体_GBK" w:cs="方正楷体_GBK"/>
          <w:b w:val="0"/>
          <w:bCs/>
          <w:sz w:val="32"/>
          <w:szCs w:val="32"/>
        </w:rPr>
        <w:t>5. 运营要求：</w:t>
      </w:r>
      <w:r>
        <w:rPr>
          <w:rFonts w:ascii="Times New Roman" w:hAnsi="Times New Roman" w:eastAsia="仿宋_GB2312"/>
          <w:sz w:val="32"/>
          <w:szCs w:val="32"/>
        </w:rPr>
        <w:t>具有一定的服务辖区和服务人口，具有保证机构长期稳定运营、签约服务与基本公共卫生项目服务质量持续提升的配套管理政策和流程规范。</w:t>
      </w:r>
    </w:p>
    <w:p>
      <w:pPr>
        <w:spacing w:line="560" w:lineRule="exact"/>
        <w:ind w:firstLine="640" w:firstLineChars="200"/>
        <w:rPr>
          <w:rFonts w:ascii="黑体" w:hAnsi="黑体" w:eastAsia="黑体"/>
          <w:sz w:val="32"/>
          <w:szCs w:val="32"/>
        </w:rPr>
      </w:pPr>
      <w:r>
        <w:rPr>
          <w:rFonts w:ascii="黑体" w:hAnsi="黑体" w:eastAsia="黑体"/>
          <w:sz w:val="32"/>
          <w:szCs w:val="32"/>
        </w:rPr>
        <w:t>二、监督管理</w:t>
      </w:r>
    </w:p>
    <w:p>
      <w:pPr>
        <w:spacing w:line="560" w:lineRule="exact"/>
        <w:ind w:firstLine="640" w:firstLineChars="200"/>
        <w:rPr>
          <w:rFonts w:ascii="Times New Roman" w:hAnsi="Times New Roman"/>
        </w:rPr>
      </w:pPr>
      <w:r>
        <w:rPr>
          <w:rFonts w:ascii="Times New Roman" w:hAnsi="Times New Roman" w:eastAsia="仿宋_GB2312"/>
          <w:sz w:val="32"/>
          <w:szCs w:val="32"/>
        </w:rPr>
        <w:t>各区县（市）</w:t>
      </w:r>
      <w:r>
        <w:rPr>
          <w:rFonts w:hint="eastAsia" w:ascii="Times New Roman" w:hAnsi="Times New Roman" w:eastAsia="仿宋_GB2312"/>
          <w:sz w:val="32"/>
          <w:szCs w:val="32"/>
        </w:rPr>
        <w:t>卫生健康</w:t>
      </w:r>
      <w:r>
        <w:rPr>
          <w:rFonts w:ascii="Times New Roman" w:hAnsi="Times New Roman" w:eastAsia="仿宋_GB2312"/>
          <w:sz w:val="32"/>
          <w:szCs w:val="32"/>
        </w:rPr>
        <w:t>行政部门对参与家庭医生签约的医疗机构</w:t>
      </w:r>
      <w:r>
        <w:rPr>
          <w:rFonts w:hint="eastAsia" w:ascii="Times New Roman" w:hAnsi="Times New Roman" w:eastAsia="仿宋_GB2312"/>
          <w:sz w:val="32"/>
          <w:szCs w:val="32"/>
        </w:rPr>
        <w:t>应</w:t>
      </w:r>
      <w:r>
        <w:rPr>
          <w:rFonts w:ascii="Times New Roman" w:hAnsi="Times New Roman" w:eastAsia="仿宋_GB2312"/>
          <w:sz w:val="32"/>
          <w:szCs w:val="32"/>
        </w:rPr>
        <w:t>加强业务及信息安全等综合监管，每年组织考评，</w:t>
      </w:r>
      <w:r>
        <w:rPr>
          <w:rFonts w:ascii="Times New Roman" w:hAnsi="Times New Roman" w:eastAsia="仿宋_GB2312"/>
          <w:sz w:val="32"/>
          <w:szCs w:val="30"/>
        </w:rPr>
        <w:t>明确考核评价退出机制，对于评价不合格的医疗机构</w:t>
      </w:r>
      <w:r>
        <w:rPr>
          <w:rFonts w:hint="eastAsia" w:ascii="Times New Roman" w:hAnsi="Times New Roman" w:eastAsia="仿宋_GB2312"/>
          <w:sz w:val="32"/>
          <w:szCs w:val="30"/>
        </w:rPr>
        <w:t>应</w:t>
      </w:r>
      <w:r>
        <w:rPr>
          <w:rFonts w:ascii="Times New Roman" w:hAnsi="Times New Roman" w:eastAsia="仿宋_GB2312"/>
          <w:sz w:val="32"/>
          <w:szCs w:val="30"/>
        </w:rPr>
        <w:t>停止服务。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right="-105" w:rightChars="-50" w:firstLine="640" w:firstLineChars="200"/>
        <w:jc w:val="left"/>
        <w:textAlignment w:val="auto"/>
        <w:outlineLvl w:val="9"/>
        <w:rPr>
          <w:rFonts w:hint="eastAsia" w:ascii="仿宋" w:hAnsi="仿宋" w:eastAsia="仿宋" w:cs="仿宋"/>
          <w:b w:val="0"/>
          <w:bCs w:val="0"/>
          <w:color w:val="000000"/>
          <w:sz w:val="32"/>
          <w:szCs w:val="32"/>
          <w:shd w:val="clear" w:color="auto" w:fill="auto"/>
          <w:lang w:val="en-US" w:eastAsia="zh-CN"/>
        </w:rPr>
      </w:pPr>
    </w:p>
    <w:p>
      <w:pPr>
        <w:widowControl w:val="0"/>
        <w:numPr>
          <w:ilvl w:val="0"/>
          <w:numId w:val="0"/>
        </w:numPr>
        <w:wordWrap/>
        <w:adjustRightInd w:val="0"/>
        <w:snapToGrid w:val="0"/>
        <w:spacing w:before="0" w:after="0" w:line="560" w:lineRule="exact"/>
        <w:ind w:right="-105" w:rightChars="-50" w:firstLine="640" w:firstLineChars="200"/>
        <w:jc w:val="both"/>
        <w:textAlignment w:val="auto"/>
        <w:outlineLvl w:val="9"/>
        <w:rPr>
          <w:rFonts w:hint="eastAsia" w:ascii="仿宋" w:hAnsi="仿宋" w:eastAsia="仿宋" w:cs="Times New Roman"/>
          <w:sz w:val="32"/>
          <w:szCs w:val="32"/>
          <w:lang w:val="en-US" w:eastAsia="zh-CN"/>
        </w:rPr>
      </w:pPr>
    </w:p>
    <w:sectPr>
      <w:footerReference r:id="rId3" w:type="default"/>
      <w:footerReference r:id="rId4" w:type="even"/>
      <w:footnotePr>
        <w:numFmt w:val="decimal"/>
      </w:footnotePr>
      <w:pgSz w:w="11900" w:h="16840"/>
      <w:pgMar w:top="2098" w:right="1587" w:bottom="1984" w:left="1587" w:header="1359" w:footer="6" w:gutter="0"/>
      <w:pgNumType w:fmt="decimal"/>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false">
                      <a:spAutoFit/>
                    </wps:bodyPr>
                  </wps:wsp>
                </a:graphicData>
              </a:graphic>
            </wp:anchor>
          </w:drawing>
        </mc:Choice>
        <mc:Fallback>
          <w:pict>
            <v:shape id="文本框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MSkXpqyAQAAUQMAAA4AAAAAAAAAAQAgAAAANA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1" locked="0" layoutInCell="1" allowOverlap="1">
              <wp:simplePos x="0" y="0"/>
              <wp:positionH relativeFrom="page">
                <wp:posOffset>6049645</wp:posOffset>
              </wp:positionH>
              <wp:positionV relativeFrom="page">
                <wp:posOffset>9643110</wp:posOffset>
              </wp:positionV>
              <wp:extent cx="67310" cy="113030"/>
              <wp:effectExtent l="0" t="0" r="0" b="0"/>
              <wp:wrapNone/>
              <wp:docPr id="2" name="Shape 9"/>
              <wp:cNvGraphicFramePr/>
              <a:graphic xmlns:a="http://schemas.openxmlformats.org/drawingml/2006/main">
                <a:graphicData uri="http://schemas.microsoft.com/office/word/2010/wordprocessingShape">
                  <wps:wsp>
                    <wps:cNvSpPr/>
                    <wps:spPr>
                      <a:xfrm>
                        <a:off x="0" y="0"/>
                        <a:ext cx="67310" cy="113030"/>
                      </a:xfrm>
                      <a:prstGeom prst="rect">
                        <a:avLst/>
                      </a:prstGeom>
                      <a:noFill/>
                      <a:ln>
                        <a:noFill/>
                      </a:ln>
                    </wps:spPr>
                    <wps:txbx>
                      <w:txbxContent>
                        <w:p>
                          <w:pPr>
                            <w:pStyle w:val="14"/>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rPr>
                            <w:t>9</w:t>
                          </w:r>
                        </w:p>
                      </w:txbxContent>
                    </wps:txbx>
                    <wps:bodyPr wrap="none" lIns="0" tIns="0" rIns="0" bIns="0" upright="false">
                      <a:spAutoFit/>
                    </wps:bodyPr>
                  </wps:wsp>
                </a:graphicData>
              </a:graphic>
            </wp:anchor>
          </w:drawing>
        </mc:Choice>
        <mc:Fallback>
          <w:pict>
            <v:rect id="Shape 9" o:spid="_x0000_s1026" o:spt="1" style="position:absolute;left:0pt;margin-left:476.35pt;margin-top:759.3pt;height:8.9pt;width:5.3pt;mso-position-horizontal-relative:page;mso-position-vertical-relative:page;mso-wrap-style:none;z-index:-251657216;mso-width-relative:page;mso-height-relative:page;" filled="f" stroked="f" coordsize="21600,21600" o:gfxdata="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CA&#10;hX6P2QAAAA0BAAAPAAAAAAAAAAEAIAAAADgAAABkcnMvZG93bnJldi54bWxQSwECFAAUAAAACACH&#10;TuJAhB5YmZsBAAA+AwAADgAAAAAAAAABACAAAAA+AQAAZHJzL2Uyb0RvYy54bWxQSwUGAAAAAAYA&#10;BgBZAQAASwUAAAAA&#10;">
              <v:fill on="f" focussize="0,0"/>
              <v:stroke on="f"/>
              <v:imagedata o:title=""/>
              <o:lock v:ext="edit" aspectratio="f"/>
              <v:textbox inset="0mm,0mm,0mm,0mm" style="mso-fit-shape-to-text:t;">
                <w:txbxContent>
                  <w:p>
                    <w:pPr>
                      <w:pStyle w:val="14"/>
                      <w:widowControl w:val="0"/>
                      <w:shd w:val="clear" w:color="auto" w:fill="auto"/>
                      <w:spacing w:before="0" w:after="0" w:line="240" w:lineRule="auto"/>
                      <w:ind w:left="0" w:right="0" w:firstLine="0"/>
                      <w:jc w:val="left"/>
                    </w:pPr>
                    <w:r>
                      <w:rPr>
                        <w:rFonts w:ascii="Times New Roman" w:hAnsi="Times New Roman" w:eastAsia="Times New Roman" w:cs="Times New Roman"/>
                        <w:color w:val="000000"/>
                        <w:spacing w:val="0"/>
                        <w:w w:val="100"/>
                        <w:position w:val="0"/>
                      </w:rPr>
                      <w:t>9</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40039"/>
    <w:rsid w:val="03804725"/>
    <w:rsid w:val="048A14D8"/>
    <w:rsid w:val="058F177D"/>
    <w:rsid w:val="05C56090"/>
    <w:rsid w:val="06F137CB"/>
    <w:rsid w:val="07224789"/>
    <w:rsid w:val="07E97BF9"/>
    <w:rsid w:val="08C83BB6"/>
    <w:rsid w:val="08E9455C"/>
    <w:rsid w:val="094509BA"/>
    <w:rsid w:val="09F525A2"/>
    <w:rsid w:val="0ADC61E8"/>
    <w:rsid w:val="0B6C5685"/>
    <w:rsid w:val="0C495080"/>
    <w:rsid w:val="0D286120"/>
    <w:rsid w:val="0D6D3908"/>
    <w:rsid w:val="0E1D6D8A"/>
    <w:rsid w:val="10097FCF"/>
    <w:rsid w:val="11C50171"/>
    <w:rsid w:val="12552E6F"/>
    <w:rsid w:val="12E71B6A"/>
    <w:rsid w:val="14245969"/>
    <w:rsid w:val="159169BF"/>
    <w:rsid w:val="15933D4D"/>
    <w:rsid w:val="1A6D33E8"/>
    <w:rsid w:val="1D0A7D1E"/>
    <w:rsid w:val="1EB1083F"/>
    <w:rsid w:val="1F47738D"/>
    <w:rsid w:val="1F5E1894"/>
    <w:rsid w:val="1FD35707"/>
    <w:rsid w:val="1FDA50AE"/>
    <w:rsid w:val="20E23B35"/>
    <w:rsid w:val="22075B9F"/>
    <w:rsid w:val="23AD3BD8"/>
    <w:rsid w:val="251D3506"/>
    <w:rsid w:val="257E7126"/>
    <w:rsid w:val="25AE4A41"/>
    <w:rsid w:val="26744A0A"/>
    <w:rsid w:val="26FE3914"/>
    <w:rsid w:val="277159AD"/>
    <w:rsid w:val="280F5069"/>
    <w:rsid w:val="2A754A76"/>
    <w:rsid w:val="2BDBA387"/>
    <w:rsid w:val="2F1B6977"/>
    <w:rsid w:val="2FE24D0E"/>
    <w:rsid w:val="310C3ABB"/>
    <w:rsid w:val="324A584C"/>
    <w:rsid w:val="35425422"/>
    <w:rsid w:val="375829A2"/>
    <w:rsid w:val="37F675B9"/>
    <w:rsid w:val="392C7B19"/>
    <w:rsid w:val="3B1449AB"/>
    <w:rsid w:val="3BF1654B"/>
    <w:rsid w:val="3D7FBA20"/>
    <w:rsid w:val="3E443B53"/>
    <w:rsid w:val="3F093A9F"/>
    <w:rsid w:val="3F874062"/>
    <w:rsid w:val="42482117"/>
    <w:rsid w:val="439D793A"/>
    <w:rsid w:val="46154F06"/>
    <w:rsid w:val="4A893B1F"/>
    <w:rsid w:val="4F53594A"/>
    <w:rsid w:val="50614CED"/>
    <w:rsid w:val="5350244E"/>
    <w:rsid w:val="54340D4A"/>
    <w:rsid w:val="548B5462"/>
    <w:rsid w:val="56DF25A6"/>
    <w:rsid w:val="574D41AC"/>
    <w:rsid w:val="575C7492"/>
    <w:rsid w:val="58E56556"/>
    <w:rsid w:val="59BA7B85"/>
    <w:rsid w:val="5A4F5830"/>
    <w:rsid w:val="5AF361E1"/>
    <w:rsid w:val="5C7122A0"/>
    <w:rsid w:val="5CA21B09"/>
    <w:rsid w:val="5D0814BA"/>
    <w:rsid w:val="5EDC2DF9"/>
    <w:rsid w:val="5F42628B"/>
    <w:rsid w:val="60AA7175"/>
    <w:rsid w:val="60BE4A04"/>
    <w:rsid w:val="61792AB4"/>
    <w:rsid w:val="62145E80"/>
    <w:rsid w:val="633546E0"/>
    <w:rsid w:val="639E60E4"/>
    <w:rsid w:val="655E7585"/>
    <w:rsid w:val="6573058F"/>
    <w:rsid w:val="6577362B"/>
    <w:rsid w:val="66D20721"/>
    <w:rsid w:val="6AD462BA"/>
    <w:rsid w:val="6BC72C01"/>
    <w:rsid w:val="6BCB5416"/>
    <w:rsid w:val="6C7E2D62"/>
    <w:rsid w:val="6C917AF1"/>
    <w:rsid w:val="6E220125"/>
    <w:rsid w:val="6E224798"/>
    <w:rsid w:val="6E5747B4"/>
    <w:rsid w:val="6EC41EEC"/>
    <w:rsid w:val="72DC1E5E"/>
    <w:rsid w:val="74086A7A"/>
    <w:rsid w:val="74C96285"/>
    <w:rsid w:val="769F161D"/>
    <w:rsid w:val="76E6505B"/>
    <w:rsid w:val="77E50C32"/>
    <w:rsid w:val="78C914E0"/>
    <w:rsid w:val="79360638"/>
    <w:rsid w:val="798F306B"/>
    <w:rsid w:val="7AFF14F1"/>
    <w:rsid w:val="7BD16F92"/>
    <w:rsid w:val="7BD21C33"/>
    <w:rsid w:val="7C3F73BA"/>
    <w:rsid w:val="7DF75F8A"/>
    <w:rsid w:val="7E606E7F"/>
    <w:rsid w:val="7EAA6240"/>
    <w:rsid w:val="7EEB1991"/>
    <w:rsid w:val="7FBF42FB"/>
    <w:rsid w:val="7FDB8C65"/>
    <w:rsid w:val="7FFF2EA4"/>
    <w:rsid w:val="AFB87DB3"/>
    <w:rsid w:val="BEB3C522"/>
    <w:rsid w:val="BF4F8D9C"/>
    <w:rsid w:val="D6EF5E9E"/>
    <w:rsid w:val="DFE60AD9"/>
    <w:rsid w:val="E4DF113E"/>
    <w:rsid w:val="EFFE1960"/>
    <w:rsid w:val="F97BD228"/>
    <w:rsid w:val="F9BBC42E"/>
    <w:rsid w:val="FBFB3FCA"/>
    <w:rsid w:val="FCF96BDA"/>
    <w:rsid w:val="FDFE97AF"/>
    <w:rsid w:val="FF6FD0B6"/>
    <w:rsid w:val="FFEEC3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Header or footer|1"/>
    <w:basedOn w:val="1"/>
    <w:qFormat/>
    <w:uiPriority w:val="0"/>
    <w:pPr>
      <w:widowControl w:val="0"/>
      <w:shd w:val="clear" w:color="auto" w:fill="auto"/>
    </w:pPr>
    <w:rPr>
      <w:sz w:val="26"/>
      <w:szCs w:val="26"/>
      <w:u w:val="none"/>
      <w:shd w:val="clear" w:color="auto" w:fill="auto"/>
      <w:lang w:val="zh-TW" w:eastAsia="zh-TW" w:bidi="zh-TW"/>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2020-09-08T14:05:00Z</dcterms:created>
  <dc:creator>Mac</dc:creator>
  <cp:lastModifiedBy>greatwall</cp:lastModifiedBy>
  <cp:lastPrinted>2021-09-03T00:00:00Z</cp:lastPrinted>
  <dcterms:modified xsi:type="dcterms:W3CDTF">2021-09-03T19:04:18Z</dcterms:modified>
  <dc:title>郑州市卫生健康委员会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3637DCBD6C70471E841FC64799D74B18</vt:lpwstr>
  </property>
</Properties>
</file>